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media/image1.png" ContentType="image/png"/>
  <Override PartName="/word/settings.xml" ContentType="application/vnd.openxmlformats-officedocument.wordprocessingml.settings+xml"/>
  <Override PartName="/word/header1.xml" ContentType="application/vnd.openxmlformats-officedocument.wordprocessingml.header+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true"/>
        <w:spacing w:lineRule="auto" w:line="276" w:before="0" w:after="200"/>
        <w:ind w:firstLine="8"/>
        <w:jc w:val="right"/>
        <w:rPr>
          <w:rFonts w:ascii="Calibri" w:hAnsi="Calibri" w:eastAsia="Calibri" w:cs="Calibri"/>
          <w:b/>
          <w:b/>
          <w:color w:val="00000A"/>
          <w:sz w:val="32"/>
          <w:u w:val="single"/>
        </w:rPr>
      </w:pPr>
      <w:bookmarkStart w:id="0" w:name="_GoBack"/>
      <w:bookmarkEnd w:id="0"/>
      <w:r>
        <w:rPr>
          <w:b/>
          <w:color w:val="00000A"/>
          <w:sz w:val="32"/>
          <w:u w:val="single"/>
        </w:rPr>
        <w:t>Annexe 2 – Service Agreement</w:t>
      </w:r>
    </w:p>
    <w:p>
      <w:pPr>
        <w:pStyle w:val="Normal"/>
        <w:suppressAutoHyphens w:val="true"/>
        <w:spacing w:lineRule="auto" w:line="276" w:before="0" w:after="0"/>
        <w:jc w:val="center"/>
        <w:rPr>
          <w:rFonts w:ascii="Corbel" w:hAnsi="Corbel" w:eastAsia="Corbel" w:cs="Corbel"/>
          <w:b/>
          <w:b/>
          <w:color w:val="FFFFFF"/>
          <w:sz w:val="44"/>
          <w:shd w:fill="000080" w:val="clear"/>
        </w:rPr>
      </w:pPr>
      <w:r>
        <w:rPr>
          <w:rFonts w:ascii="Corbel" w:hAnsi="Corbel"/>
          <w:b/>
          <w:color w:val="FFFFFF"/>
          <w:sz w:val="28"/>
          <w:shd w:fill="000080" w:val="clear"/>
        </w:rPr>
        <w:t xml:space="preserve">SERVICE AGREEMENT </w:t>
      </w:r>
      <w:r>
        <w:rPr>
          <w:rFonts w:ascii="Corbel" w:hAnsi="Corbel"/>
          <w:b/>
          <w:color w:val="FFFFFF" w:themeColor="background1"/>
          <w:sz w:val="24"/>
          <w:shd w:fill="000080" w:val="clear"/>
        </w:rPr>
        <w:t xml:space="preserve">(D.Lgs no. 150/15 ) - </w:t>
      </w:r>
      <w:r>
        <w:rPr>
          <w:rFonts w:ascii="Corbel" w:hAnsi="Corbel"/>
          <w:b/>
          <w:color w:val="FFFFFF"/>
          <w:sz w:val="28"/>
          <w:shd w:fill="000080" w:val="clear"/>
        </w:rPr>
        <w:t xml:space="preserve">EMPLOYMENT AGREEMENT </w:t>
      </w:r>
      <w:r>
        <w:rPr>
          <w:rFonts w:ascii="Corbel" w:hAnsi="Corbel"/>
          <w:b/>
          <w:color w:val="FFFFFF"/>
          <w:shd w:fill="000080" w:val="clear"/>
        </w:rPr>
        <w:t>(D.Lgs</w:t>
      </w:r>
      <w:r>
        <w:rPr>
          <w:rFonts w:ascii="Corbel" w:hAnsi="Corbel"/>
          <w:b/>
          <w:color w:val="FFFFFF" w:themeColor="background1"/>
          <w:sz w:val="24"/>
          <w:shd w:fill="000080" w:val="clear"/>
        </w:rPr>
        <w:t xml:space="preserve"> no. 4/19)</w:t>
      </w:r>
    </w:p>
    <w:p>
      <w:pPr>
        <w:pStyle w:val="Normal"/>
        <w:suppressAutoHyphens w:val="true"/>
        <w:spacing w:lineRule="auto" w:line="276" w:before="0" w:after="0"/>
        <w:jc w:val="center"/>
        <w:rPr>
          <w:rFonts w:ascii="Corbel" w:hAnsi="Corbel" w:eastAsia="Corbel" w:cs="Corbel"/>
          <w:b/>
          <w:b/>
          <w:color w:val="FFFFFF" w:themeColor="background1"/>
          <w:sz w:val="24"/>
          <w:shd w:fill="000080" w:val="clear"/>
        </w:rPr>
      </w:pPr>
      <w:r>
        <w:rPr>
          <w:rFonts w:eastAsia="Corbel" w:cs="Corbel" w:ascii="Corbel" w:hAnsi="Corbel"/>
          <w:b/>
          <w:color w:val="FFFFFF" w:themeColor="background1"/>
          <w:sz w:val="24"/>
          <w:shd w:fill="000080" w:val="clear"/>
        </w:rPr>
      </w:r>
    </w:p>
    <w:tbl>
      <w:tblPr>
        <w:tblW w:w="10490" w:type="dxa"/>
        <w:jc w:val="left"/>
        <w:tblInd w:w="-147" w:type="dxa"/>
        <w:tblLayout w:type="fixed"/>
        <w:tblCellMar>
          <w:top w:w="0" w:type="dxa"/>
          <w:left w:w="38" w:type="dxa"/>
          <w:bottom w:w="0" w:type="dxa"/>
          <w:right w:w="38"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Between the Employment Office (EO) of</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i/>
                <w:i/>
                <w:color w:val="00000A"/>
                <w:sz w:val="20"/>
                <w:szCs w:val="20"/>
              </w:rPr>
            </w:pPr>
            <w:r>
              <w:rPr>
                <w:rFonts w:ascii="Corbel" w:hAnsi="Corbel"/>
                <w:color w:val="00000A"/>
                <w:sz w:val="24"/>
              </w:rPr>
              <w:t>EO operator (</w:t>
            </w:r>
            <w:r>
              <w:rPr>
                <w:rFonts w:ascii="Corbel" w:hAnsi="Corbel"/>
                <w:i/>
                <w:color w:val="00000A"/>
                <w:sz w:val="20"/>
              </w:rPr>
              <w:t>first and surname</w:t>
            </w:r>
            <w:r>
              <w:rPr>
                <w:rFonts w:ascii="Corbel" w:hAnsi="Corbel"/>
                <w:i/>
                <w:color w:val="00000A"/>
                <w:sz w:val="24"/>
              </w:rPr>
              <w:t>) - Mail</w:t>
            </w:r>
            <w:r>
              <w:rPr>
                <w:rFonts w:ascii="Corbel" w:hAnsi="Corbel"/>
                <w:color w:val="00000A"/>
                <w:sz w:val="24"/>
              </w:rPr>
              <w:t xml:space="preserve">:  automatic data + </w:t>
            </w:r>
            <w:r>
              <w:rPr>
                <w:rFonts w:ascii="Corbel" w:hAnsi="Corbel"/>
                <w:i/>
                <w:color w:val="00000A"/>
                <w:sz w:val="18"/>
              </w:rPr>
              <w:t>Operator Phone to be manually written in a small note field if deemed appropriate by the operator concerned</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rPr>
                <w:rFonts w:ascii="Corbel" w:hAnsi="Corbel" w:eastAsia="Corbel" w:cs="Corbel"/>
                <w:color w:val="00000A"/>
                <w:sz w:val="24"/>
              </w:rPr>
            </w:pPr>
            <w:r>
              <w:rPr>
                <w:rFonts w:ascii="Corbel" w:hAnsi="Corbel"/>
                <w:color w:val="00000A"/>
                <w:sz w:val="24"/>
              </w:rPr>
              <w:t>Activity manager</w:t>
            </w:r>
            <w:r>
              <w:rPr>
                <w:rFonts w:ascii="Corbel" w:hAnsi="Corbel"/>
                <w:i/>
                <w:color w:val="00000A"/>
                <w:sz w:val="20"/>
              </w:rPr>
              <w:t>( first and surname</w:t>
            </w:r>
            <w:r>
              <w:rPr>
                <w:rFonts w:ascii="Corbel" w:hAnsi="Corbel"/>
                <w:i/>
                <w:color w:val="00000A"/>
                <w:sz w:val="24"/>
              </w:rPr>
              <w:t>) - Mail:  automatic data Manager Name EO</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rPr>
                <w:rFonts w:ascii="Corbel" w:hAnsi="Corbel" w:eastAsia="Corbel" w:cs="Corbel"/>
                <w:color w:val="00000A"/>
                <w:sz w:val="24"/>
              </w:rPr>
            </w:pPr>
            <w:r>
              <w:rPr>
                <w:rFonts w:ascii="Corbel" w:hAnsi="Corbel"/>
                <w:color w:val="00000A"/>
                <w:sz w:val="24"/>
              </w:rPr>
              <w:t>Switchboard of Employment office no.</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center"/>
              <w:rPr>
                <w:rFonts w:ascii="Corbel" w:hAnsi="Corbel" w:eastAsia="Corbel" w:cs="Corbel"/>
                <w:color w:val="00000A"/>
                <w:sz w:val="24"/>
              </w:rPr>
            </w:pPr>
            <w:r>
              <w:rPr>
                <w:rFonts w:ascii="Corbel" w:hAnsi="Corbel"/>
                <w:color w:val="00000A"/>
                <w:sz w:val="24"/>
              </w:rPr>
              <w:t>and</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 xml:space="preserve"> </w:t>
            </w:r>
            <w:r>
              <w:rPr>
                <w:rFonts w:ascii="Corbel" w:hAnsi="Corbel"/>
                <w:color w:val="00000A"/>
                <w:sz w:val="24"/>
              </w:rPr>
              <w:t xml:space="preserve">Mr./Ms. </w:t>
            </w:r>
            <w:r>
              <w:rPr>
                <w:rFonts w:ascii="Corbel" w:hAnsi="Corbel"/>
                <w:color w:val="00000A"/>
                <w:sz w:val="20"/>
              </w:rPr>
              <w:t>(</w:t>
            </w:r>
            <w:r>
              <w:rPr>
                <w:rFonts w:ascii="Corbel" w:hAnsi="Corbel"/>
                <w:i/>
                <w:color w:val="00000A"/>
                <w:sz w:val="20"/>
              </w:rPr>
              <w:t>first and surname</w:t>
            </w:r>
            <w:r>
              <w:rPr>
                <w:rFonts w:ascii="Corbel" w:hAnsi="Corbel"/>
                <w:i/>
                <w:color w:val="00000A"/>
                <w:sz w:val="24"/>
              </w:rPr>
              <w:t>)</w:t>
            </w:r>
            <w:r>
              <w:rPr>
                <w:rFonts w:ascii="Corbel" w:hAnsi="Corbel"/>
                <w:color w:val="00000A"/>
                <w:sz w:val="20"/>
              </w:rPr>
              <w:tab/>
              <w:tab/>
              <w:tab/>
              <w:tab/>
              <w:tab/>
              <w:tab/>
            </w:r>
            <w:r>
              <w:rPr>
                <w:rFonts w:ascii="Corbel" w:hAnsi="Corbel"/>
                <w:color w:val="00000A"/>
                <w:sz w:val="24"/>
              </w:rPr>
              <w:t xml:space="preserve"> Tax Code</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rPr>
            </w:pPr>
            <w:r>
              <w:rPr>
                <w:rFonts w:ascii="Corbel" w:hAnsi="Corbel"/>
                <w:color w:val="00000A"/>
                <w:sz w:val="24"/>
              </w:rPr>
              <w:t>born in …………..,on …/…/…. Permanent Address in ………………… ..Street……………………… / Domiciled in ………………… ..Street………….</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sz w:val="24"/>
                <w:szCs w:val="24"/>
              </w:rPr>
            </w:pPr>
            <w:r>
              <w:rPr>
                <w:rFonts w:ascii="Corbel" w:hAnsi="Corbel"/>
                <w:color w:val="00000A"/>
              </w:rPr>
              <w:t>IDENTIFICATION CODE</w:t>
            </w:r>
            <w:r>
              <w:rPr>
                <w:rFonts w:ascii="Corbel" w:hAnsi="Corbel"/>
                <w:b/>
                <w:color w:val="00000A"/>
                <w:sz w:val="24"/>
              </w:rPr>
              <w:t xml:space="preserve"> </w:t>
            </w:r>
            <w:r>
              <w:rPr>
                <w:rFonts w:ascii="Corbel" w:hAnsi="Corbel"/>
                <w:color w:val="00000A"/>
                <w:sz w:val="24"/>
              </w:rPr>
              <w:t>(Id-sil)</w:t>
            </w:r>
          </w:p>
        </w:tc>
      </w:tr>
    </w:tbl>
    <w:p>
      <w:pPr>
        <w:pStyle w:val="Normal"/>
        <w:suppressAutoHyphens w:val="true"/>
        <w:spacing w:lineRule="auto" w:line="240" w:before="0" w:after="0"/>
        <w:jc w:val="both"/>
        <w:rPr>
          <w:rFonts w:ascii="Corbel" w:hAnsi="Corbel" w:eastAsia="Corbel" w:cs="Corbel"/>
          <w:color w:val="00000A"/>
          <w:sz w:val="24"/>
        </w:rPr>
      </w:pPr>
      <w:r>
        <w:rPr>
          <w:rFonts w:eastAsia="Corbel" w:cs="Corbel" w:ascii="Corbel" w:hAnsi="Corbel"/>
          <w:color w:val="00000A"/>
          <w:sz w:val="24"/>
        </w:rPr>
      </w:r>
    </w:p>
    <w:p>
      <w:pPr>
        <w:pStyle w:val="Normal"/>
        <w:suppressAutoHyphens w:val="true"/>
        <w:spacing w:lineRule="auto" w:line="240" w:before="0" w:after="0"/>
        <w:jc w:val="both"/>
        <w:rPr>
          <w:rFonts w:ascii="Corbel" w:hAnsi="Corbel" w:eastAsia="Corbel" w:cs="Corbel"/>
          <w:b/>
          <w:b/>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A </w:t>
      </w:r>
      <w:r>
        <w:rPr>
          <w:rFonts w:ascii="Corbel" w:hAnsi="Corbel"/>
          <w:b/>
          <w:color w:val="FFFFFF"/>
          <w:sz w:val="24"/>
        </w:rPr>
        <w:t xml:space="preserve">  </w:t>
      </w:r>
      <w:r>
        <w:rPr>
          <w:rFonts w:ascii="Corbel" w:hAnsi="Corbel"/>
          <w:b/>
          <w:color w:val="00000A"/>
          <w:sz w:val="24"/>
        </w:rPr>
        <w:t xml:space="preserve"> Type of Service Agreement </w:t>
      </w:r>
    </w:p>
    <w:tbl>
      <w:tblPr>
        <w:tblStyle w:val="Grigliatabella"/>
        <w:tblW w:w="10490" w:type="dxa"/>
        <w:jc w:val="left"/>
        <w:tblInd w:w="-147" w:type="dxa"/>
        <w:tblLayout w:type="fixed"/>
        <w:tblCellMar>
          <w:top w:w="0" w:type="dxa"/>
          <w:left w:w="108" w:type="dxa"/>
          <w:bottom w:w="0" w:type="dxa"/>
          <w:right w:w="108" w:type="dxa"/>
        </w:tblCellMar>
        <w:tblLook w:val="04a0" w:noVBand="1" w:noHBand="0" w:lastColumn="0" w:firstColumn="1" w:lastRow="0" w:firstRow="1"/>
      </w:tblPr>
      <w:tblGrid>
        <w:gridCol w:w="10490"/>
      </w:tblGrid>
      <w:tr>
        <w:trPr/>
        <w:tc>
          <w:tcPr>
            <w:tcW w:w="10490" w:type="dxa"/>
            <w:tcBorders/>
          </w:tcPr>
          <w:p>
            <w:pPr>
              <w:pStyle w:val="Normal"/>
              <w:widowControl/>
              <w:suppressAutoHyphens w:val="true"/>
              <w:spacing w:lineRule="auto" w:line="240" w:before="0" w:after="0"/>
              <w:jc w:val="both"/>
              <w:rPr>
                <w:rFonts w:ascii="Corbel" w:hAnsi="Corbel" w:eastAsia="Corbel" w:cs="Corbel"/>
                <w:color w:val="00000A"/>
                <w:sz w:val="24"/>
              </w:rPr>
            </w:pPr>
            <w:r>
              <w:rPr>
                <w:rFonts w:ascii="Corbel" w:hAnsi="Corbel"/>
                <w:color w:val="00000A"/>
                <w:kern w:val="0"/>
                <w:sz w:val="24"/>
                <w:szCs w:val="22"/>
                <w:lang w:val="en-GB" w:eastAsia="it-IT" w:bidi="ar-SA"/>
              </w:rPr>
              <w:t>[ ] - Personalised service agreement pursuant to art. 20 D.Lgs 150/15</w:t>
            </w:r>
          </w:p>
          <w:p>
            <w:pPr>
              <w:pStyle w:val="Normal"/>
              <w:widowControl/>
              <w:suppressAutoHyphens w:val="true"/>
              <w:spacing w:lineRule="auto" w:line="240" w:before="0" w:after="0"/>
              <w:jc w:val="both"/>
              <w:rPr>
                <w:rFonts w:ascii="Corbel" w:hAnsi="Corbel" w:eastAsia="Corbel" w:cs="Corbel"/>
                <w:color w:val="00000A"/>
                <w:sz w:val="24"/>
              </w:rPr>
            </w:pPr>
            <w:r>
              <w:rPr>
                <w:rFonts w:ascii="Corbel" w:hAnsi="Corbel"/>
                <w:color w:val="00000A"/>
                <w:kern w:val="0"/>
                <w:sz w:val="24"/>
                <w:szCs w:val="22"/>
                <w:lang w:val="en-GB" w:eastAsia="it-IT" w:bidi="ar-SA"/>
              </w:rPr>
              <w:t>[ ] - Personalised service agreement for Youth Guarantee users</w:t>
            </w:r>
          </w:p>
          <w:p>
            <w:pPr>
              <w:pStyle w:val="Normal"/>
              <w:widowControl/>
              <w:suppressAutoHyphens w:val="true"/>
              <w:spacing w:lineRule="auto" w:line="240" w:before="0" w:after="0"/>
              <w:jc w:val="both"/>
              <w:rPr>
                <w:rFonts w:ascii="Corbel" w:hAnsi="Corbel" w:eastAsia="Corbel" w:cs="Corbel"/>
                <w:color w:val="00000A"/>
                <w:sz w:val="24"/>
              </w:rPr>
            </w:pPr>
            <w:r>
              <w:rPr>
                <w:rFonts w:ascii="Corbel" w:hAnsi="Corbel"/>
                <w:color w:val="00000A"/>
                <w:kern w:val="0"/>
                <w:sz w:val="24"/>
                <w:szCs w:val="22"/>
                <w:lang w:val="en-GB" w:eastAsia="it-IT" w:bidi="ar-SA"/>
              </w:rPr>
              <w:t>[ ] - Employment agreement for Citizens’ Income beneficiaries</w:t>
            </w:r>
          </w:p>
        </w:tc>
      </w:tr>
    </w:tbl>
    <w:tbl>
      <w:tblPr>
        <w:tblW w:w="10490" w:type="dxa"/>
        <w:jc w:val="left"/>
        <w:tblInd w:w="-147" w:type="dxa"/>
        <w:tblLayout w:type="fixed"/>
        <w:tblCellMar>
          <w:top w:w="0" w:type="dxa"/>
          <w:left w:w="10" w:type="dxa"/>
          <w:bottom w:w="0" w:type="dxa"/>
          <w:right w:w="10"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szCs w:val="24"/>
              </w:rPr>
            </w:pPr>
            <w:r>
              <w:rPr>
                <w:rFonts w:ascii="Corbel" w:hAnsi="Corbel"/>
                <w:color w:val="00000A"/>
                <w:sz w:val="24"/>
              </w:rPr>
              <w:t xml:space="preserve">  </w:t>
            </w:r>
            <w:r>
              <w:rPr>
                <w:rFonts w:ascii="Corbel" w:hAnsi="Corbel"/>
                <w:color w:val="00000A"/>
                <w:sz w:val="24"/>
              </w:rPr>
              <w:t xml:space="preserve">[ ] - Personal employability profile: </w:t>
            </w:r>
            <w:r>
              <w:rPr>
                <w:rFonts w:ascii="Corbel" w:hAnsi="Corbel"/>
                <w:color w:val="00000A"/>
                <w:sz w:val="16"/>
              </w:rPr>
              <w:t xml:space="preserve">____________________ </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szCs w:val="24"/>
              </w:rPr>
            </w:pPr>
            <w:r>
              <w:rPr>
                <w:rFonts w:ascii="Corbel" w:hAnsi="Corbel"/>
                <w:color w:val="00000A"/>
                <w:sz w:val="24"/>
              </w:rPr>
              <w:t xml:space="preserve">  </w:t>
            </w:r>
            <w:r>
              <w:rPr>
                <w:rFonts w:ascii="Corbel" w:hAnsi="Corbel"/>
                <w:color w:val="00000A"/>
                <w:sz w:val="24"/>
              </w:rPr>
              <w:t>[ ] -Youth Guarantee employment agreement: _________</w:t>
            </w:r>
          </w:p>
        </w:tc>
      </w:tr>
    </w:tbl>
    <w:p>
      <w:pPr>
        <w:pStyle w:val="Normal"/>
        <w:suppressAutoHyphens w:val="true"/>
        <w:spacing w:lineRule="auto" w:line="240" w:before="0" w:after="0"/>
        <w:jc w:val="both"/>
        <w:rPr>
          <w:rFonts w:ascii="Corbel" w:hAnsi="Corbel" w:eastAsia="Corbel" w:cs="Corbel"/>
          <w:b/>
          <w:b/>
          <w:color w:val="00000A"/>
          <w:sz w:val="24"/>
        </w:rPr>
      </w:pPr>
      <w:r>
        <w:rPr>
          <w:rFonts w:eastAsia="Corbel" w:cs="Corbel" w:ascii="Corbel" w:hAnsi="Corbel"/>
          <w:b/>
          <w:color w:val="00000A"/>
          <w:sz w:val="24"/>
        </w:rPr>
      </w:r>
    </w:p>
    <w:p>
      <w:pPr>
        <w:pStyle w:val="Normal"/>
        <w:suppressAutoHyphens w:val="true"/>
        <w:spacing w:lineRule="auto" w:line="276" w:before="0" w:after="0"/>
        <w:jc w:val="both"/>
        <w:rPr>
          <w:rFonts w:ascii="Corbel" w:hAnsi="Corbel" w:eastAsia="Corbel" w:cs="Corbel"/>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B </w:t>
      </w:r>
      <w:r>
        <w:rPr>
          <w:rFonts w:ascii="Corbel" w:hAnsi="Corbel"/>
          <w:b/>
          <w:color w:val="00000A"/>
          <w:sz w:val="24"/>
        </w:rPr>
        <w:t xml:space="preserve"> Confirm immediate availability</w:t>
      </w:r>
      <w:r>
        <w:rPr>
          <w:rFonts w:ascii="Corbel" w:hAnsi="Corbel"/>
          <w:color w:val="00000A"/>
          <w:sz w:val="24"/>
        </w:rPr>
        <w:t xml:space="preserve"> (</w:t>
      </w:r>
      <w:r>
        <w:rPr>
          <w:rFonts w:ascii="Corbel" w:hAnsi="Corbel"/>
          <w:i/>
          <w:color w:val="00000A"/>
          <w:sz w:val="18"/>
        </w:rPr>
        <w:t>excluding consistent RDL users</w:t>
      </w:r>
      <w:r>
        <w:rPr>
          <w:rFonts w:ascii="Corbel" w:hAnsi="Corbel"/>
          <w:color w:val="00000A"/>
          <w:sz w:val="24"/>
        </w:rPr>
        <w:t>)</w:t>
      </w:r>
    </w:p>
    <w:tbl>
      <w:tblPr>
        <w:tblW w:w="10490" w:type="dxa"/>
        <w:jc w:val="left"/>
        <w:tblInd w:w="-147" w:type="dxa"/>
        <w:tblLayout w:type="fixed"/>
        <w:tblCellMar>
          <w:top w:w="0" w:type="dxa"/>
          <w:left w:w="40" w:type="dxa"/>
          <w:bottom w:w="0" w:type="dxa"/>
          <w:right w:w="40" w:type="dxa"/>
        </w:tblCellMar>
        <w:tblLook w:val="04a0" w:noVBand="1" w:noHBand="0" w:lastColumn="0" w:firstColumn="1" w:lastRow="0" w:firstRow="1"/>
      </w:tblPr>
      <w:tblGrid>
        <w:gridCol w:w="10490"/>
      </w:tblGrid>
      <w:tr>
        <w:trPr>
          <w:trHeight w:val="1" w:hRule="atLeast"/>
        </w:trPr>
        <w:tc>
          <w:tcPr>
            <w:tcW w:w="10490"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uppressAutoHyphens w:val="true"/>
              <w:spacing w:lineRule="auto" w:line="276" w:before="0" w:after="0"/>
              <w:jc w:val="both"/>
              <w:rPr>
                <w:rFonts w:ascii="Corbel" w:hAnsi="Corbel" w:eastAsia="Corbel" w:cs="Corbel"/>
                <w:color w:val="00000A"/>
                <w:sz w:val="24"/>
              </w:rPr>
            </w:pPr>
            <w:r>
              <w:rPr>
                <w:rFonts w:ascii="Corbel" w:hAnsi="Corbel"/>
                <w:color w:val="00000A"/>
                <w:sz w:val="24"/>
              </w:rPr>
              <w:t>I confirm my unemployment status (</w:t>
            </w:r>
            <w:r>
              <w:rPr>
                <w:rFonts w:ascii="Corbel" w:hAnsi="Corbel"/>
                <w:i/>
                <w:color w:val="00000A"/>
                <w:sz w:val="24"/>
              </w:rPr>
              <w:t>and non-inclusion in training courses for Youth Guarantee users</w:t>
            </w:r>
            <w:r>
              <w:rPr>
                <w:rFonts w:ascii="Corbel" w:hAnsi="Corbel"/>
                <w:color w:val="00000A"/>
                <w:sz w:val="24"/>
              </w:rPr>
              <w:t>), as well as my immediate willingness to carry out  work activity and participate in active employment policy measures, as stated by:</w:t>
            </w:r>
          </w:p>
          <w:p>
            <w:pPr>
              <w:pStyle w:val="ListParagraph"/>
              <w:widowControl w:val="false"/>
              <w:numPr>
                <w:ilvl w:val="0"/>
                <w:numId w:val="2"/>
              </w:numPr>
              <w:suppressAutoHyphens w:val="true"/>
              <w:spacing w:before="0" w:after="0"/>
              <w:ind w:left="528" w:hanging="360"/>
              <w:contextualSpacing/>
              <w:jc w:val="both"/>
              <w:rPr/>
            </w:pPr>
            <w:r>
              <w:rPr>
                <w:rFonts w:ascii="Corbel" w:hAnsi="Corbel"/>
                <w:color w:val="00000A"/>
                <w:sz w:val="24"/>
              </w:rPr>
              <w:t>Online Declaration of Immediate Availability (</w:t>
            </w:r>
            <w:r>
              <w:rPr>
                <w:rFonts w:ascii="Corbel" w:hAnsi="Corbel"/>
                <w:i/>
                <w:color w:val="00000A"/>
                <w:sz w:val="18"/>
              </w:rPr>
              <w:t>in all possible forms</w:t>
            </w:r>
            <w:r>
              <w:rPr>
                <w:rFonts w:ascii="Corbel" w:hAnsi="Corbel"/>
                <w:color w:val="00000A"/>
                <w:sz w:val="24"/>
              </w:rPr>
              <w:t>) on:…./…./… (</w:t>
            </w:r>
            <w:r>
              <w:rPr>
                <w:rFonts w:ascii="Corbel" w:hAnsi="Corbel"/>
                <w:i/>
                <w:color w:val="00000A"/>
                <w:sz w:val="20"/>
              </w:rPr>
              <w:t>Date automatically implementable</w:t>
            </w:r>
            <w:r>
              <w:rPr>
                <w:rFonts w:ascii="Corbel" w:hAnsi="Corbel"/>
                <w:color w:val="00000A"/>
                <w:sz w:val="24"/>
              </w:rPr>
              <w:t xml:space="preserve">)       </w:t>
            </w:r>
          </w:p>
          <w:p>
            <w:pPr>
              <w:pStyle w:val="ListParagraph"/>
              <w:widowControl w:val="false"/>
              <w:numPr>
                <w:ilvl w:val="0"/>
                <w:numId w:val="2"/>
              </w:numPr>
              <w:suppressAutoHyphens w:val="true"/>
              <w:spacing w:before="0" w:after="0"/>
              <w:ind w:left="528" w:hanging="360"/>
              <w:contextualSpacing/>
              <w:jc w:val="both"/>
              <w:rPr/>
            </w:pPr>
            <w:r>
              <w:rPr>
                <w:rFonts w:ascii="Corbel" w:hAnsi="Corbel"/>
                <w:color w:val="00000A"/>
                <w:sz w:val="24"/>
              </w:rPr>
              <w:t>presentation to the Employment Office on …../…./…….</w:t>
            </w:r>
          </w:p>
        </w:tc>
      </w:tr>
    </w:tbl>
    <w:p>
      <w:pPr>
        <w:pStyle w:val="Normal"/>
        <w:suppressAutoHyphens w:val="true"/>
        <w:spacing w:lineRule="auto" w:line="240" w:before="0" w:after="0"/>
        <w:jc w:val="both"/>
        <w:rPr>
          <w:rFonts w:ascii="Corbel" w:hAnsi="Corbel" w:eastAsia="Corbel" w:cs="Corbel"/>
          <w:b/>
          <w:b/>
          <w:color w:val="00000A"/>
          <w:sz w:val="24"/>
        </w:rPr>
      </w:pPr>
      <w:r>
        <w:rPr>
          <w:rFonts w:eastAsia="Corbel" w:cs="Corbel" w:ascii="Corbel" w:hAnsi="Corbel"/>
          <w:b/>
          <w:color w:val="00000A"/>
          <w:sz w:val="24"/>
        </w:rPr>
      </w:r>
    </w:p>
    <w:p>
      <w:pPr>
        <w:pStyle w:val="Normal"/>
        <w:suppressAutoHyphens w:val="true"/>
        <w:spacing w:lineRule="auto" w:line="276" w:before="0" w:after="0"/>
        <w:jc w:val="both"/>
        <w:rPr>
          <w:rFonts w:ascii="Corbel" w:hAnsi="Corbel" w:eastAsia="Corbel" w:cs="Corbel"/>
          <w:b/>
          <w:b/>
          <w:strike/>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C  </w:t>
      </w:r>
      <w:r>
        <w:rPr>
          <w:rFonts w:ascii="Corbel" w:hAnsi="Corbel"/>
          <w:b/>
          <w:color w:val="00000A"/>
          <w:sz w:val="24"/>
        </w:rPr>
        <w:t xml:space="preserve"> Declaration of Commitment</w:t>
      </w:r>
    </w:p>
    <w:tbl>
      <w:tblPr>
        <w:tblW w:w="10490" w:type="dxa"/>
        <w:jc w:val="left"/>
        <w:tblInd w:w="-145" w:type="dxa"/>
        <w:tblLayout w:type="fixed"/>
        <w:tblCellMar>
          <w:top w:w="0" w:type="dxa"/>
          <w:left w:w="44" w:type="dxa"/>
          <w:bottom w:w="0" w:type="dxa"/>
          <w:right w:w="44" w:type="dxa"/>
        </w:tblCellMar>
        <w:tblLook w:val="04a0" w:noVBand="1" w:noHBand="0" w:lastColumn="0" w:firstColumn="1" w:lastRow="0" w:firstRow="1"/>
      </w:tblPr>
      <w:tblGrid>
        <w:gridCol w:w="10490"/>
      </w:tblGrid>
      <w:tr>
        <w:trPr>
          <w:trHeight w:val="1" w:hRule="atLeast"/>
        </w:trPr>
        <w:tc>
          <w:tcPr>
            <w:tcW w:w="10490" w:type="dxa"/>
            <w:tcBorders>
              <w:top w:val="single" w:sz="2" w:space="0" w:color="000001"/>
              <w:left w:val="single" w:sz="2" w:space="0" w:color="000001"/>
              <w:bottom w:val="single" w:sz="2" w:space="0" w:color="000001"/>
              <w:right w:val="single" w:sz="2"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u w:val="single"/>
              </w:rPr>
            </w:pPr>
            <w:r>
              <w:rPr>
                <w:rFonts w:ascii="Corbel" w:hAnsi="Corbel"/>
                <w:color w:val="00000A"/>
                <w:sz w:val="24"/>
                <w:u w:val="single"/>
              </w:rPr>
              <w:t>I, the undersigned, undertake to:</w:t>
            </w:r>
          </w:p>
          <w:p>
            <w:pPr>
              <w:pStyle w:val="Normal"/>
              <w:widowControl w:val="false"/>
              <w:numPr>
                <w:ilvl w:val="0"/>
                <w:numId w:val="1"/>
              </w:numPr>
              <w:tabs>
                <w:tab w:val="clear" w:pos="708"/>
                <w:tab w:val="left" w:pos="720" w:leader="none"/>
              </w:tabs>
              <w:suppressAutoHyphens w:val="true"/>
              <w:spacing w:lineRule="auto" w:line="240" w:before="0" w:after="0"/>
              <w:ind w:left="427" w:hanging="360"/>
              <w:rPr>
                <w:rFonts w:ascii="Corbel" w:hAnsi="Corbel" w:eastAsia="Corbel" w:cs="Corbel"/>
                <w:color w:val="00000A"/>
                <w:sz w:val="24"/>
              </w:rPr>
            </w:pPr>
            <w:r>
              <w:rPr>
                <w:rFonts w:ascii="Corbel" w:hAnsi="Corbel"/>
                <w:color w:val="00000A"/>
                <w:sz w:val="24"/>
              </w:rPr>
              <w:t>participate in the initiatives proposed by the Employment Office, on the agreed terms</w:t>
            </w:r>
          </w:p>
          <w:p>
            <w:pPr>
              <w:pStyle w:val="Normal"/>
              <w:widowControl w:val="false"/>
              <w:numPr>
                <w:ilvl w:val="0"/>
                <w:numId w:val="1"/>
              </w:numPr>
              <w:tabs>
                <w:tab w:val="clear" w:pos="708"/>
                <w:tab w:val="left" w:pos="720" w:leader="none"/>
              </w:tabs>
              <w:suppressAutoHyphens w:val="true"/>
              <w:spacing w:lineRule="auto" w:line="240" w:before="0" w:after="0"/>
              <w:ind w:left="427" w:hanging="360"/>
              <w:rPr>
                <w:rFonts w:ascii="Corbel" w:hAnsi="Corbel" w:eastAsia="Corbel" w:cs="Corbel"/>
                <w:color w:val="00000A"/>
                <w:sz w:val="24"/>
              </w:rPr>
            </w:pPr>
            <w:r>
              <w:rPr>
                <w:rFonts w:ascii="Corbel" w:hAnsi="Corbel"/>
                <w:color w:val="00000A"/>
                <w:sz w:val="24"/>
              </w:rPr>
              <w:t>attend scheduled appointments</w:t>
            </w:r>
          </w:p>
          <w:p>
            <w:pPr>
              <w:pStyle w:val="Normal"/>
              <w:widowControl w:val="false"/>
              <w:numPr>
                <w:ilvl w:val="0"/>
                <w:numId w:val="1"/>
              </w:numPr>
              <w:tabs>
                <w:tab w:val="clear" w:pos="708"/>
                <w:tab w:val="left" w:pos="720" w:leader="none"/>
              </w:tabs>
              <w:suppressAutoHyphens w:val="true"/>
              <w:spacing w:lineRule="auto" w:line="240" w:before="0" w:after="0"/>
              <w:ind w:left="427" w:hanging="360"/>
              <w:rPr>
                <w:rFonts w:ascii="Corbel" w:hAnsi="Corbel" w:eastAsia="Corbel" w:cs="Corbel"/>
                <w:color w:val="00000A"/>
                <w:sz w:val="24"/>
              </w:rPr>
            </w:pPr>
            <w:r>
              <w:rPr>
                <w:rFonts w:ascii="Corbel" w:hAnsi="Corbel"/>
                <w:color w:val="00000A"/>
                <w:sz w:val="24"/>
              </w:rPr>
              <w:t>accept adequate job offers (see next item “D”)</w:t>
            </w:r>
          </w:p>
          <w:p>
            <w:pPr>
              <w:pStyle w:val="Normal"/>
              <w:widowControl w:val="false"/>
              <w:numPr>
                <w:ilvl w:val="0"/>
                <w:numId w:val="1"/>
              </w:numPr>
              <w:tabs>
                <w:tab w:val="clear" w:pos="708"/>
                <w:tab w:val="left" w:pos="720" w:leader="none"/>
              </w:tabs>
              <w:suppressAutoHyphens w:val="true"/>
              <w:spacing w:lineRule="auto" w:line="240" w:before="0" w:after="0"/>
              <w:ind w:left="427" w:hanging="360"/>
              <w:rPr>
                <w:rFonts w:ascii="Corbel" w:hAnsi="Corbel" w:eastAsia="Corbel" w:cs="Corbel"/>
                <w:color w:val="00000A"/>
                <w:sz w:val="24"/>
              </w:rPr>
            </w:pPr>
            <w:r>
              <w:rPr>
                <w:rFonts w:ascii="Corbel" w:hAnsi="Corbel"/>
                <w:color w:val="00000A"/>
                <w:sz w:val="24"/>
              </w:rPr>
              <w:t>communicate changes to personal data and contact information for summons (Telephone and Mail)</w:t>
            </w:r>
          </w:p>
          <w:p>
            <w:pPr>
              <w:pStyle w:val="Normal"/>
              <w:widowControl w:val="false"/>
              <w:numPr>
                <w:ilvl w:val="0"/>
                <w:numId w:val="1"/>
              </w:numPr>
              <w:tabs>
                <w:tab w:val="clear" w:pos="708"/>
                <w:tab w:val="left" w:pos="720" w:leader="none"/>
              </w:tabs>
              <w:suppressAutoHyphens w:val="true"/>
              <w:spacing w:lineRule="auto" w:line="240" w:before="0" w:after="0"/>
              <w:ind w:left="427" w:hanging="360"/>
              <w:rPr>
                <w:rFonts w:ascii="Corbel" w:hAnsi="Corbel" w:eastAsia="Corbel" w:cs="Corbel"/>
                <w:color w:val="00000A"/>
                <w:sz w:val="24"/>
              </w:rPr>
            </w:pPr>
            <w:r>
              <w:rPr>
                <w:rFonts w:ascii="Corbel" w:hAnsi="Corbel"/>
                <w:color w:val="00000A"/>
                <w:sz w:val="24"/>
              </w:rPr>
              <w:t>communicate any other information needed to update this Agreement, including the establishment of an independent working relationship</w:t>
            </w:r>
          </w:p>
          <w:p>
            <w:pPr>
              <w:pStyle w:val="Normal"/>
              <w:widowControl w:val="false"/>
              <w:tabs>
                <w:tab w:val="clear" w:pos="708"/>
                <w:tab w:val="left" w:pos="720" w:leader="none"/>
              </w:tabs>
              <w:suppressAutoHyphens w:val="true"/>
              <w:spacing w:lineRule="auto" w:line="240" w:before="0" w:after="0"/>
              <w:ind w:left="67" w:hanging="0"/>
              <w:jc w:val="both"/>
              <w:rPr>
                <w:rFonts w:ascii="Corbel" w:hAnsi="Corbel" w:eastAsia="Corbel" w:cs="Corbel"/>
                <w:color w:val="00000A"/>
                <w:sz w:val="24"/>
              </w:rPr>
            </w:pPr>
            <w:r>
              <w:rPr>
                <w:rFonts w:ascii="Corbel" w:hAnsi="Corbel"/>
                <w:color w:val="00000A"/>
                <w:sz w:val="24"/>
                <w:u w:val="single"/>
              </w:rPr>
              <w:t>For Citizens’ Income beneficiaries</w:t>
            </w:r>
            <w:r>
              <w:rPr>
                <w:rFonts w:ascii="Corbel" w:hAnsi="Corbel"/>
                <w:color w:val="00000A"/>
                <w:sz w:val="24"/>
              </w:rPr>
              <w:t>, the above commitments are supplemented by specific conditions:</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Register on the specific digital platform pursuant to art. 6 of D.Lgs 4/19</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Carry out an active job search</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 xml:space="preserve">Accept training/retraining courses  or community welfare municipal projects  (the latter, on the terms declared by DM 22/10/19 published in the </w:t>
            </w:r>
            <w:r>
              <w:rPr>
                <w:rFonts w:ascii="Corbel" w:hAnsi="Corbel"/>
                <w:i/>
                <w:iCs/>
                <w:color w:val="00000A"/>
                <w:sz w:val="24"/>
              </w:rPr>
              <w:t>Gazzetta Ufficiale</w:t>
            </w:r>
            <w:r>
              <w:rPr>
                <w:rFonts w:ascii="Corbel" w:hAnsi="Corbel"/>
                <w:color w:val="00000A"/>
                <w:sz w:val="24"/>
              </w:rPr>
              <w:t xml:space="preserve"> no.5 of 8/1/2020)</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Accept projects to encourage self-entrepreneurship</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Undergo behavioural and selection interviews for recruitment</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Accept at least one of 3 adequate job offers, as shown in the table in point “D”</w:t>
            </w:r>
          </w:p>
          <w:p>
            <w:pPr>
              <w:pStyle w:val="Normal"/>
              <w:widowControl w:val="false"/>
              <w:numPr>
                <w:ilvl w:val="0"/>
                <w:numId w:val="1"/>
              </w:numPr>
              <w:tabs>
                <w:tab w:val="clear" w:pos="708"/>
                <w:tab w:val="left" w:pos="720" w:leader="none"/>
              </w:tabs>
              <w:suppressAutoHyphens w:val="true"/>
              <w:spacing w:lineRule="auto" w:line="240" w:before="0" w:after="0"/>
              <w:ind w:left="427" w:hanging="360"/>
              <w:jc w:val="both"/>
              <w:rPr>
                <w:rFonts w:ascii="Corbel" w:hAnsi="Corbel" w:eastAsia="Corbel" w:cs="Corbel"/>
                <w:color w:val="00000A"/>
                <w:sz w:val="24"/>
              </w:rPr>
            </w:pPr>
            <w:r>
              <w:rPr>
                <w:rFonts w:ascii="Corbel" w:hAnsi="Corbel"/>
                <w:color w:val="00000A"/>
                <w:sz w:val="24"/>
              </w:rPr>
              <w:t>communicate changes in employment status in the case of both employee and self-employed work (Ref. DL 4/19 and subsequent modifications and additions, art. 3 paragraphs 8 and 9)</w:t>
            </w:r>
          </w:p>
          <w:p>
            <w:pPr>
              <w:pStyle w:val="Normal"/>
              <w:widowControl w:val="false"/>
              <w:tabs>
                <w:tab w:val="clear" w:pos="708"/>
                <w:tab w:val="left" w:pos="720" w:leader="none"/>
              </w:tabs>
              <w:suppressAutoHyphens w:val="true"/>
              <w:spacing w:lineRule="auto" w:line="240" w:before="0" w:after="0"/>
              <w:jc w:val="both"/>
              <w:rPr>
                <w:rFonts w:ascii="Corbel" w:hAnsi="Corbel" w:eastAsia="Corbel" w:cs="Corbel"/>
                <w:color w:val="00000A"/>
                <w:sz w:val="24"/>
                <w:szCs w:val="24"/>
              </w:rPr>
            </w:pPr>
            <w:r>
              <w:rPr>
                <w:rFonts w:ascii="Corbel" w:hAnsi="Corbel"/>
                <w:color w:val="00000A"/>
                <w:sz w:val="24"/>
                <w:u w:val="single"/>
              </w:rPr>
              <w:t>I undertake to communicate any inability to participate in the planned activities</w:t>
            </w:r>
            <w:r>
              <w:rPr>
                <w:rFonts w:ascii="Corbel" w:hAnsi="Corbel"/>
                <w:color w:val="00000A"/>
                <w:sz w:val="24"/>
              </w:rPr>
              <w:t xml:space="preserve">, providing documentation attesting to a justified reason (as per box “I”). </w:t>
            </w:r>
            <w:r>
              <w:rPr>
                <w:rFonts w:ascii="Corbel" w:hAnsi="Corbel"/>
                <w:color w:val="00000A"/>
                <w:sz w:val="24"/>
                <w:u w:val="single"/>
              </w:rPr>
              <w:t>I share the provisions of this document and agree</w:t>
            </w:r>
            <w:r>
              <w:rPr>
                <w:rFonts w:ascii="Corbel" w:hAnsi="Corbel"/>
                <w:color w:val="00000A"/>
                <w:sz w:val="24"/>
              </w:rPr>
              <w:t xml:space="preserve"> to comply with the planned actions, in the knowledge that failure to comply with the provisions will result in the application of the penalty regime provided for in the following box “H”, </w:t>
            </w:r>
            <w:r>
              <w:rPr>
                <w:rFonts w:ascii="Corbel" w:hAnsi="Corbel"/>
                <w:color w:val="00000A"/>
                <w:sz w:val="24"/>
                <w:u w:val="single"/>
              </w:rPr>
              <w:t>without further communication from this office</w:t>
            </w:r>
            <w:r>
              <w:rPr>
                <w:rFonts w:ascii="Corbel" w:hAnsi="Corbel"/>
                <w:color w:val="00000A"/>
                <w:sz w:val="24"/>
              </w:rPr>
              <w:t xml:space="preserve">. </w:t>
            </w:r>
          </w:p>
          <w:p>
            <w:pPr>
              <w:pStyle w:val="Normal"/>
              <w:widowControl w:val="false"/>
              <w:tabs>
                <w:tab w:val="clear" w:pos="708"/>
                <w:tab w:val="left" w:pos="720" w:leader="none"/>
              </w:tabs>
              <w:suppressAutoHyphens w:val="true"/>
              <w:spacing w:lineRule="auto" w:line="240" w:before="0" w:after="0"/>
              <w:jc w:val="both"/>
              <w:rPr>
                <w:rFonts w:ascii="Corbel" w:hAnsi="Corbel" w:eastAsia="Corbel" w:cs="Corbel"/>
                <w:color w:val="00000A"/>
                <w:sz w:val="24"/>
                <w:szCs w:val="24"/>
              </w:rPr>
            </w:pPr>
            <w:r>
              <w:rPr>
                <w:rFonts w:eastAsia="Corbel" w:cs="Corbel" w:ascii="Corbel" w:hAnsi="Corbel"/>
                <w:color w:val="00000A"/>
                <w:sz w:val="24"/>
                <w:szCs w:val="24"/>
              </w:rPr>
            </w:r>
          </w:p>
          <w:p>
            <w:pPr>
              <w:pStyle w:val="Normal"/>
              <w:widowControl w:val="false"/>
              <w:tabs>
                <w:tab w:val="clear" w:pos="708"/>
                <w:tab w:val="left" w:pos="720" w:leader="none"/>
              </w:tabs>
              <w:suppressAutoHyphens w:val="true"/>
              <w:spacing w:lineRule="auto" w:line="240" w:before="0" w:after="0"/>
              <w:jc w:val="both"/>
              <w:rPr>
                <w:rFonts w:ascii="Corbel" w:hAnsi="Corbel" w:eastAsia="Corbel" w:cs="Corbel"/>
                <w:i/>
                <w:i/>
                <w:color w:val="00000A"/>
                <w:sz w:val="20"/>
                <w:szCs w:val="20"/>
              </w:rPr>
            </w:pPr>
            <w:r>
              <w:rPr>
                <w:rFonts w:ascii="Corbel" w:hAnsi="Corbel"/>
                <w:color w:val="00000A"/>
                <w:sz w:val="24"/>
              </w:rPr>
              <w:t>Provide a “Note Field” that can be implemented to record specific situations - I think there may be one already - check</w:t>
            </w:r>
          </w:p>
        </w:tc>
      </w:tr>
    </w:tbl>
    <w:p>
      <w:pPr>
        <w:pStyle w:val="Normal"/>
        <w:suppressAutoHyphens w:val="true"/>
        <w:spacing w:lineRule="auto" w:line="240" w:before="0" w:after="0"/>
        <w:jc w:val="both"/>
        <w:rPr>
          <w:rFonts w:ascii="Corbel" w:hAnsi="Corbel" w:eastAsia="Corbel" w:cs="Corbel"/>
          <w:b/>
          <w:b/>
          <w:color w:val="FFFFFF"/>
          <w:sz w:val="24"/>
          <w:shd w:fill="0000FF" w:val="clear"/>
        </w:rPr>
      </w:pPr>
      <w:r>
        <w:rPr>
          <w:rFonts w:ascii="Corbel" w:hAnsi="Corbel"/>
          <w:b/>
          <w:color w:val="FFFFFF"/>
          <w:sz w:val="24"/>
          <w:shd w:fill="0000FF" w:val="clear"/>
        </w:rPr>
        <w:t xml:space="preserve">   </w:t>
      </w:r>
    </w:p>
    <w:p>
      <w:pPr>
        <w:pStyle w:val="Normal"/>
        <w:suppressAutoHyphens w:val="true"/>
        <w:spacing w:lineRule="auto" w:line="240" w:before="0" w:after="0"/>
        <w:jc w:val="both"/>
        <w:rPr>
          <w:rFonts w:ascii="Corbel" w:hAnsi="Corbel" w:eastAsia="Corbel" w:cs="Corbel"/>
          <w:b/>
          <w:b/>
          <w:color w:val="FFFFFF"/>
          <w:sz w:val="24"/>
          <w:shd w:fill="0000FF" w:val="clear"/>
        </w:rPr>
      </w:pPr>
      <w:r>
        <w:rPr>
          <w:rFonts w:ascii="Corbel" w:hAnsi="Corbel"/>
          <w:b/>
          <w:color w:val="FFFFFF"/>
          <w:sz w:val="24"/>
          <w:shd w:fill="0000FF" w:val="clear"/>
        </w:rPr>
        <w:t xml:space="preserve">   </w:t>
      </w:r>
    </w:p>
    <w:p>
      <w:pPr>
        <w:pStyle w:val="Normal"/>
        <w:suppressAutoHyphens w:val="true"/>
        <w:spacing w:lineRule="auto" w:line="276" w:before="0" w:after="0"/>
        <w:jc w:val="both"/>
        <w:rPr>
          <w:rFonts w:ascii="Corbel" w:hAnsi="Corbel" w:eastAsia="Corbel" w:cs="Corbel"/>
          <w:b/>
          <w:b/>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D  </w:t>
      </w:r>
      <w:r>
        <w:rPr>
          <w:rFonts w:ascii="Corbel" w:hAnsi="Corbel"/>
          <w:b/>
          <w:color w:val="00000A"/>
          <w:sz w:val="24"/>
        </w:rPr>
        <w:t xml:space="preserve"> Concept of ADEQUATE JOB OFFER</w:t>
      </w:r>
    </w:p>
    <w:tbl>
      <w:tblPr>
        <w:tblW w:w="10490" w:type="dxa"/>
        <w:jc w:val="left"/>
        <w:tblInd w:w="-147" w:type="dxa"/>
        <w:tblLayout w:type="fixed"/>
        <w:tblCellMar>
          <w:top w:w="0" w:type="dxa"/>
          <w:left w:w="38" w:type="dxa"/>
          <w:bottom w:w="0" w:type="dxa"/>
          <w:right w:w="38"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tabs>
                <w:tab w:val="clear" w:pos="708"/>
                <w:tab w:val="left" w:pos="720" w:leader="none"/>
              </w:tabs>
              <w:suppressAutoHyphens w:val="true"/>
              <w:spacing w:lineRule="auto" w:line="240" w:before="0" w:after="0"/>
              <w:ind w:left="67" w:hanging="0"/>
              <w:jc w:val="both"/>
              <w:rPr>
                <w:rFonts w:ascii="Corbel" w:hAnsi="Corbel" w:eastAsia="Corbel" w:cs="Corbel"/>
                <w:color w:val="00000A"/>
                <w:sz w:val="24"/>
              </w:rPr>
            </w:pPr>
            <w:r>
              <w:rPr>
                <w:rFonts w:ascii="Corbel" w:hAnsi="Corbel"/>
                <w:color w:val="00000A"/>
                <w:sz w:val="24"/>
              </w:rPr>
              <w:t>The offer is considered adequate with reference to the following basic principles (</w:t>
            </w:r>
            <w:r>
              <w:rPr>
                <w:rFonts w:ascii="Corbel" w:hAnsi="Corbel"/>
                <w:color w:val="00000A"/>
                <w:sz w:val="18"/>
              </w:rPr>
              <w:t>D.Lgs 150/15 art. 25 as clarified in DM 42/18</w:t>
            </w:r>
            <w:r>
              <w:rPr>
                <w:rFonts w:ascii="Corbel" w:hAnsi="Corbel"/>
                <w:color w:val="00000A"/>
                <w:sz w:val="24"/>
              </w:rPr>
              <w:t>):</w:t>
            </w:r>
          </w:p>
          <w:p>
            <w:pPr>
              <w:pStyle w:val="ListParagraph"/>
              <w:widowControl w:val="false"/>
              <w:numPr>
                <w:ilvl w:val="0"/>
                <w:numId w:val="3"/>
              </w:numPr>
              <w:suppressAutoHyphens w:val="true"/>
              <w:spacing w:lineRule="auto" w:line="240" w:before="0" w:after="0"/>
              <w:ind w:left="717" w:hanging="240"/>
              <w:contextualSpacing/>
              <w:jc w:val="both"/>
              <w:rPr>
                <w:rFonts w:ascii="Corbel" w:hAnsi="Corbel" w:eastAsia="Corbel" w:cs="Corbel"/>
                <w:color w:val="00000A"/>
                <w:sz w:val="24"/>
              </w:rPr>
            </w:pPr>
            <w:r>
              <w:rPr>
                <w:rFonts w:ascii="Corbel" w:hAnsi="Corbel"/>
                <w:color w:val="00000A"/>
                <w:sz w:val="24"/>
              </w:rPr>
              <w:t>consistency between job offer, experience and skills</w:t>
            </w:r>
          </w:p>
          <w:p>
            <w:pPr>
              <w:pStyle w:val="ListParagraph"/>
              <w:widowControl w:val="false"/>
              <w:numPr>
                <w:ilvl w:val="0"/>
                <w:numId w:val="3"/>
              </w:numPr>
              <w:suppressAutoHyphens w:val="true"/>
              <w:spacing w:lineRule="auto" w:line="240" w:before="0" w:after="0"/>
              <w:ind w:left="717" w:hanging="240"/>
              <w:contextualSpacing/>
              <w:jc w:val="both"/>
              <w:rPr>
                <w:rFonts w:ascii="Corbel" w:hAnsi="Corbel" w:eastAsia="Corbel" w:cs="Corbel"/>
                <w:color w:val="00000A"/>
                <w:sz w:val="24"/>
              </w:rPr>
            </w:pPr>
            <w:r>
              <w:rPr>
                <w:rFonts w:ascii="Corbel" w:hAnsi="Corbel"/>
                <w:color w:val="00000A"/>
                <w:sz w:val="24"/>
              </w:rPr>
              <w:t>distance to the workplace and commute times using public transport</w:t>
            </w:r>
          </w:p>
          <w:p>
            <w:pPr>
              <w:pStyle w:val="ListParagraph"/>
              <w:widowControl w:val="false"/>
              <w:numPr>
                <w:ilvl w:val="0"/>
                <w:numId w:val="3"/>
              </w:numPr>
              <w:suppressAutoHyphens w:val="true"/>
              <w:spacing w:lineRule="auto" w:line="240" w:before="0" w:after="0"/>
              <w:ind w:left="717" w:hanging="240"/>
              <w:contextualSpacing/>
              <w:jc w:val="both"/>
              <w:rPr>
                <w:rFonts w:ascii="Corbel" w:hAnsi="Corbel" w:eastAsia="Corbel" w:cs="Corbel"/>
                <w:color w:val="00000A"/>
                <w:sz w:val="24"/>
              </w:rPr>
            </w:pPr>
            <w:r>
              <w:rPr>
                <w:rFonts w:ascii="Corbel" w:hAnsi="Corbel"/>
                <w:color w:val="00000A"/>
                <w:sz w:val="24"/>
              </w:rPr>
              <w:t>length of unemployment spell</w:t>
            </w:r>
          </w:p>
          <w:p>
            <w:pPr>
              <w:pStyle w:val="Normal"/>
              <w:widowControl w:val="false"/>
              <w:suppressAutoHyphens w:val="true"/>
              <w:spacing w:lineRule="auto" w:line="240" w:before="0" w:after="0"/>
              <w:jc w:val="both"/>
              <w:rPr>
                <w:rFonts w:ascii="Corbel" w:hAnsi="Corbel" w:eastAsia="Corbel" w:cs="Corbel"/>
                <w:color w:val="00000A"/>
                <w:sz w:val="24"/>
              </w:rPr>
            </w:pPr>
            <w:r>
              <w:rPr>
                <w:rFonts w:ascii="Corbel" w:hAnsi="Corbel"/>
                <w:color w:val="00000A"/>
                <w:sz w:val="24"/>
              </w:rPr>
              <w:t>In addition:</w:t>
            </w:r>
          </w:p>
          <w:p>
            <w:pPr>
              <w:pStyle w:val="ListParagraph"/>
              <w:widowControl w:val="false"/>
              <w:numPr>
                <w:ilvl w:val="0"/>
                <w:numId w:val="7"/>
              </w:numPr>
              <w:suppressAutoHyphens w:val="true"/>
              <w:spacing w:lineRule="auto" w:line="240" w:before="0" w:after="0"/>
              <w:ind w:left="386" w:hanging="360"/>
              <w:contextualSpacing/>
              <w:jc w:val="both"/>
              <w:rPr>
                <w:rFonts w:ascii="Corbel" w:hAnsi="Corbel" w:eastAsia="Corbel" w:cs="Corbel"/>
                <w:color w:val="00000A"/>
                <w:sz w:val="24"/>
              </w:rPr>
            </w:pPr>
            <w:r>
              <w:rPr>
                <w:rFonts w:ascii="Corbel" w:hAnsi="Corbel"/>
                <w:color w:val="00000A"/>
                <w:sz w:val="24"/>
                <w:u w:val="single"/>
              </w:rPr>
              <w:t>For the recipients</w:t>
            </w:r>
            <w:r>
              <w:rPr>
                <w:rFonts w:ascii="Corbel" w:hAnsi="Corbel"/>
                <w:color w:val="00000A"/>
                <w:sz w:val="24"/>
              </w:rPr>
              <w:t xml:space="preserve"> of monthly unemployment benefits (NASPI), the amount of remuneration of the new job offer shall also be assessed, deeming it adequate if 20% higher than the NASPI allowance received. </w:t>
            </w:r>
          </w:p>
          <w:p>
            <w:pPr>
              <w:pStyle w:val="ListParagraph"/>
              <w:widowControl w:val="false"/>
              <w:numPr>
                <w:ilvl w:val="0"/>
                <w:numId w:val="7"/>
              </w:numPr>
              <w:suppressAutoHyphens w:val="true"/>
              <w:spacing w:lineRule="auto" w:line="240" w:before="0" w:after="0"/>
              <w:ind w:left="386" w:hanging="360"/>
              <w:contextualSpacing/>
              <w:jc w:val="both"/>
              <w:rPr>
                <w:rFonts w:ascii="Corbel" w:hAnsi="Corbel" w:eastAsia="Corbel" w:cs="Corbel"/>
                <w:color w:val="00000A"/>
                <w:sz w:val="24"/>
              </w:rPr>
            </w:pPr>
            <w:r>
              <w:rPr>
                <w:rFonts w:ascii="Corbel" w:hAnsi="Corbel"/>
                <w:color w:val="00000A"/>
                <w:sz w:val="24"/>
                <w:u w:val="single"/>
              </w:rPr>
              <w:t>For Beneficiaries of Citizens’ Income</w:t>
            </w:r>
            <w:r>
              <w:rPr>
                <w:rFonts w:ascii="Corbel" w:hAnsi="Corbel"/>
                <w:color w:val="00000A"/>
                <w:sz w:val="24"/>
              </w:rPr>
              <w:t>, the job offer must contain the following minimum information: qualification, requirements, place, time, type of contract and remuneration.  In particular, for such users, an offer is defined as adequate if it has the following characteristics:</w:t>
            </w:r>
          </w:p>
          <w:p>
            <w:pPr>
              <w:pStyle w:val="ListParagraph"/>
              <w:widowControl w:val="false"/>
              <w:suppressAutoHyphens w:val="true"/>
              <w:spacing w:lineRule="auto" w:line="240" w:before="0" w:after="0"/>
              <w:ind w:left="386" w:hanging="0"/>
              <w:contextualSpacing/>
              <w:jc w:val="both"/>
              <w:rPr>
                <w:rFonts w:ascii="Corbel" w:hAnsi="Corbel" w:eastAsia="Corbel" w:cs="Corbel"/>
                <w:color w:val="00000A"/>
                <w:sz w:val="24"/>
              </w:rPr>
            </w:pPr>
            <w:r>
              <w:rPr>
                <w:rFonts w:eastAsia="Corbel" w:cs="Corbel" w:ascii="Corbel" w:hAnsi="Corbel"/>
                <w:color w:val="00000A"/>
                <w:sz w:val="24"/>
              </w:rPr>
            </w:r>
          </w:p>
          <w:p>
            <w:pPr>
              <w:pStyle w:val="Normal"/>
              <w:widowControl w:val="false"/>
              <w:spacing w:lineRule="exact" w:line="20" w:before="16" w:after="160"/>
              <w:rPr/>
            </w:pPr>
            <w:r>
              <w:rPr/>
            </w:r>
          </w:p>
          <w:tbl>
            <w:tblPr>
              <w:tblW w:w="10505" w:type="dxa"/>
              <w:jc w:val="left"/>
              <w:tblInd w:w="55" w:type="dxa"/>
              <w:tblLayout w:type="fixed"/>
              <w:tblCellMar>
                <w:top w:w="0" w:type="dxa"/>
                <w:left w:w="70" w:type="dxa"/>
                <w:bottom w:w="0" w:type="dxa"/>
                <w:right w:w="70" w:type="dxa"/>
              </w:tblCellMar>
              <w:tblLook w:val="04a0" w:noVBand="1" w:noHBand="0" w:lastColumn="0" w:firstColumn="1" w:lastRow="0" w:firstRow="1"/>
            </w:tblPr>
            <w:tblGrid>
              <w:gridCol w:w="500"/>
              <w:gridCol w:w="2209"/>
              <w:gridCol w:w="2047"/>
              <w:gridCol w:w="1780"/>
              <w:gridCol w:w="1984"/>
              <w:gridCol w:w="1984"/>
            </w:tblGrid>
            <w:tr>
              <w:trPr>
                <w:trHeight w:val="288" w:hRule="atLeast"/>
              </w:trPr>
              <w:tc>
                <w:tcPr>
                  <w:tcW w:w="500" w:type="dxa"/>
                  <w:tcBorders>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 </w:t>
                  </w:r>
                </w:p>
              </w:tc>
              <w:tc>
                <w:tcPr>
                  <w:tcW w:w="4256" w:type="dxa"/>
                  <w:gridSpan w:val="2"/>
                  <w:vMerge w:val="restart"/>
                  <w:tcBorders>
                    <w:top w:val="single" w:sz="4" w:space="0" w:color="000000"/>
                    <w:bottom w:val="single" w:sz="8" w:space="0" w:color="000000"/>
                    <w:right w:val="single" w:sz="4" w:space="0" w:color="000000"/>
                  </w:tcBorders>
                  <w:shd w:color="000000" w:fill="BFBFBF" w:val="clear"/>
                  <w:vAlign w:val="center"/>
                </w:tcPr>
                <w:p>
                  <w:pPr>
                    <w:pStyle w:val="Normal"/>
                    <w:widowControl w:val="false"/>
                    <w:spacing w:lineRule="auto" w:line="240" w:before="0" w:after="0"/>
                    <w:jc w:val="center"/>
                    <w:rPr>
                      <w:rFonts w:ascii="Calibri" w:hAnsi="Calibri" w:eastAsia="Times New Roman" w:cs="Calibri"/>
                      <w:color w:val="000000"/>
                      <w:lang w:val="es-ES_tradnl" w:eastAsia="es-ES"/>
                    </w:rPr>
                  </w:pPr>
                  <w:r>
                    <w:rPr>
                      <w:rFonts w:eastAsia="Times New Roman" w:cs="Calibri"/>
                      <w:color w:val="000000"/>
                      <w:lang w:val="es-ES_tradnl" w:eastAsia="es-ES"/>
                    </w:rPr>
                    <w:t>Essential elements</w:t>
                  </w:r>
                </w:p>
              </w:tc>
              <w:tc>
                <w:tcPr>
                  <w:tcW w:w="5748" w:type="dxa"/>
                  <w:gridSpan w:val="3"/>
                  <w:tcBorders>
                    <w:top w:val="single" w:sz="4" w:space="0" w:color="000000"/>
                    <w:bottom w:val="single" w:sz="4" w:space="0" w:color="000000"/>
                    <w:right w:val="single" w:sz="4" w:space="0" w:color="000000"/>
                  </w:tcBorders>
                  <w:shd w:color="000000" w:fill="BFBFBF" w:val="clear"/>
                  <w:vAlign w:val="bottom"/>
                </w:tcPr>
                <w:p>
                  <w:pPr>
                    <w:pStyle w:val="Normal"/>
                    <w:widowControl w:val="false"/>
                    <w:spacing w:lineRule="auto" w:line="240" w:before="0" w:after="0"/>
                    <w:jc w:val="center"/>
                    <w:rPr>
                      <w:rFonts w:ascii="Calibri" w:hAnsi="Calibri" w:eastAsia="Times New Roman" w:cs="Calibri"/>
                      <w:b/>
                      <w:b/>
                      <w:bCs/>
                      <w:color w:val="000000"/>
                      <w:lang w:val="es-ES_tradnl" w:eastAsia="es-ES"/>
                    </w:rPr>
                  </w:pPr>
                  <w:r>
                    <w:rPr>
                      <w:rFonts w:eastAsia="Times New Roman" w:cs="Calibri"/>
                      <w:b/>
                      <w:bCs/>
                      <w:color w:val="000000"/>
                      <w:lang w:val="es-ES_tradnl" w:eastAsia="es-ES"/>
                    </w:rPr>
                    <w:t>Months of unemployment</w:t>
                  </w:r>
                </w:p>
              </w:tc>
            </w:tr>
            <w:tr>
              <w:trPr>
                <w:trHeight w:val="300" w:hRule="atLeast"/>
              </w:trPr>
              <w:tc>
                <w:tcPr>
                  <w:tcW w:w="500" w:type="dxa"/>
                  <w:tcBorders>
                    <w:bottom w:val="single" w:sz="8" w:space="0" w:color="000000"/>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 </w:t>
                  </w:r>
                </w:p>
              </w:tc>
              <w:tc>
                <w:tcPr>
                  <w:tcW w:w="4256" w:type="dxa"/>
                  <w:gridSpan w:val="2"/>
                  <w:vMerge w:val="continue"/>
                  <w:tcBorders>
                    <w:bottom w:val="single" w:sz="8" w:space="0" w:color="000000"/>
                    <w:right w:val="single" w:sz="8" w:space="0" w:color="000000"/>
                  </w:tcBorders>
                  <w:vAlign w:val="center"/>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r>
                </w:p>
              </w:tc>
              <w:tc>
                <w:tcPr>
                  <w:tcW w:w="1780" w:type="dxa"/>
                  <w:tcBorders>
                    <w:bottom w:val="single" w:sz="8" w:space="0" w:color="000000"/>
                    <w:right w:val="single" w:sz="4" w:space="0" w:color="000000"/>
                  </w:tcBorders>
                  <w:shd w:color="000000" w:fill="BFBFBF"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Up to 6 months</w:t>
                  </w:r>
                </w:p>
              </w:tc>
              <w:tc>
                <w:tcPr>
                  <w:tcW w:w="1984" w:type="dxa"/>
                  <w:tcBorders>
                    <w:bottom w:val="single" w:sz="8" w:space="0" w:color="000000"/>
                    <w:right w:val="single" w:sz="4" w:space="0" w:color="000000"/>
                  </w:tcBorders>
                  <w:shd w:color="000000" w:fill="BFBFBF"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From 6 to 12 months</w:t>
                  </w:r>
                </w:p>
              </w:tc>
              <w:tc>
                <w:tcPr>
                  <w:tcW w:w="1984" w:type="dxa"/>
                  <w:tcBorders>
                    <w:bottom w:val="single" w:sz="8" w:space="0" w:color="000000"/>
                    <w:right w:val="single" w:sz="4" w:space="0" w:color="000000"/>
                  </w:tcBorders>
                  <w:shd w:color="000000" w:fill="BFBFBF"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More than 12 months</w:t>
                  </w:r>
                </w:p>
              </w:tc>
            </w:tr>
            <w:tr>
              <w:trPr>
                <w:trHeight w:val="648" w:hRule="atLeast"/>
              </w:trPr>
              <w:tc>
                <w:tcPr>
                  <w:tcW w:w="500" w:type="dxa"/>
                  <w:tcBorders>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A</w:t>
                  </w:r>
                </w:p>
              </w:tc>
              <w:tc>
                <w:tcPr>
                  <w:tcW w:w="2209" w:type="dxa"/>
                  <w:tcBorders>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Congruence</w:t>
                  </w:r>
                </w:p>
              </w:tc>
              <w:tc>
                <w:tcPr>
                  <w:tcW w:w="2047" w:type="dxa"/>
                  <w:tcBorders>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 </w:t>
                  </w:r>
                </w:p>
              </w:tc>
              <w:tc>
                <w:tcPr>
                  <w:tcW w:w="1780" w:type="dxa"/>
                  <w:tcBorders>
                    <w:right w:val="single" w:sz="4" w:space="0" w:color="000000"/>
                  </w:tcBorders>
                  <w:shd w:color="000000" w:fill="FFFFFF" w:val="clear"/>
                  <w:vAlign w:val="bottom"/>
                </w:tcPr>
                <w:p>
                  <w:pPr>
                    <w:pStyle w:val="Normal"/>
                    <w:widowControl w:val="false"/>
                    <w:spacing w:lineRule="auto" w:line="240" w:before="0" w:after="0"/>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With 1 or more areas of activity (AoA) of the industry process identified in the Agreement</w:t>
                  </w:r>
                </w:p>
              </w:tc>
              <w:tc>
                <w:tcPr>
                  <w:tcW w:w="1984" w:type="dxa"/>
                  <w:tcBorders>
                    <w:right w:val="single" w:sz="4" w:space="0" w:color="000000"/>
                  </w:tcBorders>
                  <w:shd w:color="000000" w:fill="FFFFFF" w:val="clear"/>
                  <w:vAlign w:val="bottom"/>
                </w:tcPr>
                <w:p>
                  <w:pPr>
                    <w:pStyle w:val="Normal"/>
                    <w:widowControl w:val="false"/>
                    <w:spacing w:lineRule="auto" w:line="240" w:before="0" w:after="0"/>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With all the industry process identified in the Agreement or with AoA of closely connected industries</w:t>
                  </w:r>
                </w:p>
              </w:tc>
              <w:tc>
                <w:tcPr>
                  <w:tcW w:w="1984" w:type="dxa"/>
                  <w:tcBorders>
                    <w:right w:val="single" w:sz="8" w:space="0" w:color="000000"/>
                  </w:tcBorders>
                  <w:shd w:color="000000" w:fill="FFFFFF" w:val="clear"/>
                  <w:vAlign w:val="bottom"/>
                </w:tcPr>
                <w:p>
                  <w:pPr>
                    <w:pStyle w:val="Normal"/>
                    <w:widowControl w:val="false"/>
                    <w:spacing w:lineRule="auto" w:line="240" w:before="0" w:after="0"/>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With all the AoA of all processes of the industryidentified in the Agreement or with AoA of closely connected industries</w:t>
                  </w:r>
                </w:p>
              </w:tc>
            </w:tr>
            <w:tr>
              <w:trPr>
                <w:trHeight w:val="288" w:hRule="atLeast"/>
              </w:trPr>
              <w:tc>
                <w:tcPr>
                  <w:tcW w:w="500" w:type="dxa"/>
                  <w:vMerge w:val="restart"/>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B</w:t>
                  </w:r>
                </w:p>
              </w:tc>
              <w:tc>
                <w:tcPr>
                  <w:tcW w:w="2209" w:type="dxa"/>
                  <w:vMerge w:val="restart"/>
                  <w:tcBorders>
                    <w:top w:val="single" w:sz="8" w:space="0" w:color="000000"/>
                    <w:left w:val="single" w:sz="8" w:space="0" w:color="000000"/>
                    <w:bottom w:val="single" w:sz="8" w:space="0" w:color="000000"/>
                    <w:right w:val="single" w:sz="4" w:space="0" w:color="000000"/>
                  </w:tcBorders>
                  <w:shd w:color="auto" w:fill="auto" w:val="clear"/>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Distance</w:t>
                  </w:r>
                </w:p>
              </w:tc>
              <w:tc>
                <w:tcPr>
                  <w:tcW w:w="2047" w:type="dxa"/>
                  <w:tcBorders>
                    <w:top w:val="single" w:sz="8" w:space="0" w:color="000000"/>
                    <w:bottom w:val="single" w:sz="4" w:space="0" w:color="000000"/>
                    <w:right w:val="single" w:sz="4" w:space="0" w:color="000000"/>
                  </w:tcBorders>
                  <w:shd w:color="000000" w:fill="BFBFBF" w:val="clear"/>
                  <w:vAlign w:val="bottom"/>
                </w:tcPr>
                <w:p>
                  <w:pPr>
                    <w:pStyle w:val="Normal"/>
                    <w:widowControl w:val="false"/>
                    <w:spacing w:lineRule="auto" w:line="240" w:before="0" w:after="0"/>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Duration of benefit</w:t>
                  </w:r>
                </w:p>
              </w:tc>
              <w:tc>
                <w:tcPr>
                  <w:tcW w:w="1780" w:type="dxa"/>
                  <w:tcBorders>
                    <w:top w:val="single" w:sz="8" w:space="0" w:color="000000"/>
                    <w:bottom w:val="single" w:sz="4" w:space="0" w:color="000000"/>
                    <w:right w:val="single" w:sz="4" w:space="0" w:color="000000"/>
                  </w:tcBorders>
                  <w:shd w:color="000000" w:fill="BFBFBF" w:val="clear"/>
                  <w:vAlign w:val="bottom"/>
                </w:tcPr>
                <w:p>
                  <w:pPr>
                    <w:pStyle w:val="Normal"/>
                    <w:widowControl w:val="false"/>
                    <w:spacing w:lineRule="auto" w:line="240" w:before="0" w:after="0"/>
                    <w:jc w:val="center"/>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1st offer</w:t>
                  </w:r>
                </w:p>
              </w:tc>
              <w:tc>
                <w:tcPr>
                  <w:tcW w:w="1984" w:type="dxa"/>
                  <w:tcBorders>
                    <w:top w:val="single" w:sz="8" w:space="0" w:color="000000"/>
                    <w:bottom w:val="single" w:sz="4" w:space="0" w:color="000000"/>
                    <w:right w:val="single" w:sz="4" w:space="0" w:color="000000"/>
                  </w:tcBorders>
                  <w:shd w:color="000000" w:fill="BFBFBF" w:val="clear"/>
                  <w:vAlign w:val="bottom"/>
                </w:tcPr>
                <w:p>
                  <w:pPr>
                    <w:pStyle w:val="Normal"/>
                    <w:widowControl w:val="false"/>
                    <w:spacing w:lineRule="auto" w:line="240" w:before="0" w:after="0"/>
                    <w:jc w:val="center"/>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2nd offer</w:t>
                  </w:r>
                </w:p>
              </w:tc>
              <w:tc>
                <w:tcPr>
                  <w:tcW w:w="1984" w:type="dxa"/>
                  <w:tcBorders>
                    <w:top w:val="single" w:sz="8" w:space="0" w:color="000000"/>
                    <w:bottom w:val="single" w:sz="4" w:space="0" w:color="000000"/>
                    <w:right w:val="single" w:sz="8" w:space="0" w:color="000000"/>
                  </w:tcBorders>
                  <w:shd w:color="000000" w:fill="BFBFBF" w:val="clear"/>
                  <w:vAlign w:val="bottom"/>
                </w:tcPr>
                <w:p>
                  <w:pPr>
                    <w:pStyle w:val="Normal"/>
                    <w:widowControl w:val="false"/>
                    <w:spacing w:lineRule="auto" w:line="240" w:before="0" w:after="0"/>
                    <w:jc w:val="center"/>
                    <w:rPr>
                      <w:rFonts w:ascii="Calibri" w:hAnsi="Calibri" w:eastAsia="Times New Roman" w:cs="Calibri"/>
                      <w:color w:val="000000"/>
                      <w:sz w:val="16"/>
                      <w:szCs w:val="16"/>
                      <w:lang w:val="es-ES_tradnl" w:eastAsia="es-ES"/>
                    </w:rPr>
                  </w:pPr>
                  <w:r>
                    <w:rPr>
                      <w:rFonts w:eastAsia="Times New Roman" w:cs="Calibri"/>
                      <w:color w:val="000000"/>
                      <w:sz w:val="16"/>
                      <w:szCs w:val="16"/>
                      <w:lang w:val="es-ES_tradnl" w:eastAsia="es-ES"/>
                    </w:rPr>
                    <w:t>3rd offer</w:t>
                  </w:r>
                </w:p>
              </w:tc>
            </w:tr>
            <w:tr>
              <w:trPr>
                <w:trHeight w:val="288" w:hRule="atLeast"/>
              </w:trPr>
              <w:tc>
                <w:tcPr>
                  <w:tcW w:w="500"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209" w:type="dxa"/>
                  <w:vMerge w:val="continue"/>
                  <w:tcBorders>
                    <w:top w:val="single" w:sz="8" w:space="0" w:color="000000"/>
                    <w:left w:val="single" w:sz="8" w:space="0" w:color="000000"/>
                    <w:bottom w:val="single" w:sz="8" w:space="0" w:color="000000"/>
                    <w:right w:val="single" w:sz="4"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047"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Up to 12 months</w:t>
                  </w:r>
                </w:p>
              </w:tc>
              <w:tc>
                <w:tcPr>
                  <w:tcW w:w="1780"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100Km/100 minutes</w:t>
                  </w:r>
                </w:p>
              </w:tc>
              <w:tc>
                <w:tcPr>
                  <w:tcW w:w="1984"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250 km</w:t>
                  </w:r>
                </w:p>
              </w:tc>
              <w:tc>
                <w:tcPr>
                  <w:tcW w:w="1984" w:type="dxa"/>
                  <w:tcBorders>
                    <w:bottom w:val="single" w:sz="4" w:space="0" w:color="000000"/>
                    <w:right w:val="single" w:sz="8"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Entire National territory</w:t>
                  </w:r>
                </w:p>
              </w:tc>
            </w:tr>
            <w:tr>
              <w:trPr>
                <w:trHeight w:val="288" w:hRule="atLeast"/>
              </w:trPr>
              <w:tc>
                <w:tcPr>
                  <w:tcW w:w="500"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209" w:type="dxa"/>
                  <w:vMerge w:val="continue"/>
                  <w:tcBorders>
                    <w:top w:val="single" w:sz="8" w:space="0" w:color="000000"/>
                    <w:left w:val="single" w:sz="8" w:space="0" w:color="000000"/>
                    <w:bottom w:val="single" w:sz="8" w:space="0" w:color="000000"/>
                    <w:right w:val="single" w:sz="4"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047" w:type="dxa"/>
                  <w:tcBorders>
                    <w:bottom w:val="single" w:sz="4"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Over 12 months</w:t>
                  </w:r>
                </w:p>
              </w:tc>
              <w:tc>
                <w:tcPr>
                  <w:tcW w:w="3764" w:type="dxa"/>
                  <w:gridSpan w:val="2"/>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250 km</w:t>
                  </w:r>
                </w:p>
              </w:tc>
              <w:tc>
                <w:tcPr>
                  <w:tcW w:w="1984" w:type="dxa"/>
                  <w:tcBorders>
                    <w:bottom w:val="single" w:sz="4" w:space="0" w:color="000000"/>
                    <w:right w:val="single" w:sz="8"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Entire National territory</w:t>
                  </w:r>
                </w:p>
              </w:tc>
            </w:tr>
            <w:tr>
              <w:trPr>
                <w:trHeight w:val="300" w:hRule="atLeast"/>
              </w:trPr>
              <w:tc>
                <w:tcPr>
                  <w:tcW w:w="500"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209" w:type="dxa"/>
                  <w:vMerge w:val="continue"/>
                  <w:tcBorders>
                    <w:top w:val="single" w:sz="8" w:space="0" w:color="000000"/>
                    <w:left w:val="single" w:sz="8" w:space="0" w:color="000000"/>
                    <w:bottom w:val="single" w:sz="8" w:space="0" w:color="000000"/>
                    <w:right w:val="single" w:sz="4" w:space="0" w:color="000000"/>
                  </w:tcBorders>
                  <w:vAlign w:val="center"/>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r>
                </w:p>
              </w:tc>
              <w:tc>
                <w:tcPr>
                  <w:tcW w:w="2047" w:type="dxa"/>
                  <w:tcBorders>
                    <w:bottom w:val="single" w:sz="8"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Renewal of benefit</w:t>
                  </w:r>
                </w:p>
              </w:tc>
              <w:tc>
                <w:tcPr>
                  <w:tcW w:w="5748" w:type="dxa"/>
                  <w:gridSpan w:val="3"/>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before="0" w:after="0"/>
                    <w:jc w:val="center"/>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Entire National territory</w:t>
                  </w:r>
                </w:p>
              </w:tc>
            </w:tr>
            <w:tr>
              <w:trPr>
                <w:trHeight w:val="690" w:hRule="atLeast"/>
              </w:trPr>
              <w:tc>
                <w:tcPr>
                  <w:tcW w:w="500" w:type="dxa"/>
                  <w:tcBorders>
                    <w:left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C</w:t>
                  </w:r>
                </w:p>
              </w:tc>
              <w:tc>
                <w:tcPr>
                  <w:tcW w:w="4256" w:type="dxa"/>
                  <w:gridSpan w:val="2"/>
                  <w:tcBorders>
                    <w:top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Type of contract</w:t>
                  </w:r>
                </w:p>
              </w:tc>
              <w:tc>
                <w:tcPr>
                  <w:tcW w:w="5748" w:type="dxa"/>
                  <w:gridSpan w:val="3"/>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sz w:val="18"/>
                      <w:szCs w:val="18"/>
                      <w:lang w:val="es-ES_tradnl" w:eastAsia="es-ES"/>
                    </w:rPr>
                  </w:pPr>
                  <w:r>
                    <w:rPr>
                      <w:rFonts w:eastAsia="Times New Roman" w:cs="Calibri"/>
                      <w:color w:val="000000"/>
                      <w:sz w:val="18"/>
                      <w:szCs w:val="18"/>
                      <w:lang w:val="es-ES_tradnl" w:eastAsia="es-ES"/>
                    </w:rPr>
                    <w:t>Permanent full-time or fixed-termcontract (including administration) not less than 3 months, full time or 80% PT</w:t>
                  </w:r>
                </w:p>
              </w:tc>
            </w:tr>
            <w:tr>
              <w:trPr>
                <w:trHeight w:val="300" w:hRule="atLeast"/>
              </w:trPr>
              <w:tc>
                <w:tcPr>
                  <w:tcW w:w="500" w:type="dxa"/>
                  <w:tcBorders>
                    <w:left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D</w:t>
                  </w:r>
                </w:p>
              </w:tc>
              <w:tc>
                <w:tcPr>
                  <w:tcW w:w="2209" w:type="dxa"/>
                  <w:tcBorders>
                    <w:bottom w:val="single" w:sz="8"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b/>
                      <w:b/>
                      <w:bCs/>
                      <w:color w:val="000000"/>
                      <w:lang w:val="es-ES_tradnl" w:eastAsia="es-ES"/>
                    </w:rPr>
                  </w:pPr>
                  <w:r>
                    <w:rPr>
                      <w:rFonts w:eastAsia="Times New Roman" w:cs="Calibri"/>
                      <w:b/>
                      <w:bCs/>
                      <w:color w:val="000000"/>
                      <w:lang w:val="es-ES_tradnl" w:eastAsia="es-ES"/>
                    </w:rPr>
                    <w:t>Amount of compensation</w:t>
                  </w:r>
                </w:p>
              </w:tc>
              <w:tc>
                <w:tcPr>
                  <w:tcW w:w="2047" w:type="dxa"/>
                  <w:tcBorders>
                    <w:bottom w:val="single" w:sz="8" w:space="0" w:color="000000"/>
                    <w:right w:val="single" w:sz="4"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 </w:t>
                  </w:r>
                </w:p>
              </w:tc>
              <w:tc>
                <w:tcPr>
                  <w:tcW w:w="5748" w:type="dxa"/>
                  <w:gridSpan w:val="3"/>
                  <w:tcBorders>
                    <w:bottom w:val="single" w:sz="8" w:space="0" w:color="000000"/>
                    <w:right w:val="single" w:sz="8" w:space="0" w:color="000000"/>
                  </w:tcBorders>
                  <w:shd w:color="auto" w:fill="auto" w:val="clear"/>
                  <w:vAlign w:val="bottom"/>
                </w:tcPr>
                <w:p>
                  <w:pPr>
                    <w:pStyle w:val="Normal"/>
                    <w:widowControl w:val="false"/>
                    <w:spacing w:lineRule="auto" w:line="240" w:before="0" w:after="0"/>
                    <w:rPr>
                      <w:rFonts w:ascii="Calibri" w:hAnsi="Calibri" w:eastAsia="Times New Roman" w:cs="Calibri"/>
                      <w:color w:val="000000"/>
                      <w:lang w:val="es-ES_tradnl" w:eastAsia="es-ES"/>
                    </w:rPr>
                  </w:pPr>
                  <w:r>
                    <w:rPr>
                      <w:rFonts w:eastAsia="Times New Roman" w:cs="Calibri"/>
                      <w:color w:val="000000"/>
                      <w:lang w:val="es-ES_tradnl" w:eastAsia="es-ES"/>
                    </w:rPr>
                    <w:t>At least 10% greater  than the perceived benefit</w:t>
                  </w:r>
                </w:p>
              </w:tc>
            </w:tr>
          </w:tbl>
          <w:p>
            <w:pPr>
              <w:pStyle w:val="Normal"/>
              <w:widowControl w:val="false"/>
              <w:rPr>
                <w:lang w:val="en-US"/>
              </w:rPr>
            </w:pPr>
            <w:r>
              <w:rPr>
                <w:lang w:val="en-US"/>
              </w:rPr>
            </w:r>
          </w:p>
          <w:p>
            <w:pPr>
              <w:pStyle w:val="Normal"/>
              <w:widowControl w:val="false"/>
              <w:suppressAutoHyphens w:val="true"/>
              <w:spacing w:lineRule="auto" w:line="240" w:before="0" w:after="0"/>
              <w:jc w:val="both"/>
              <w:rPr>
                <w:lang w:val="en-US"/>
              </w:rPr>
            </w:pPr>
            <w:r>
              <w:rPr>
                <w:lang w:val="en-US"/>
              </w:rPr>
            </w:r>
          </w:p>
          <w:p>
            <w:pPr>
              <w:pStyle w:val="Normal"/>
              <w:widowControl w:val="false"/>
              <w:suppressAutoHyphens w:val="true"/>
              <w:spacing w:lineRule="auto" w:line="240" w:before="0" w:after="0"/>
              <w:jc w:val="both"/>
              <w:rPr>
                <w:lang w:val="en-US"/>
              </w:rPr>
            </w:pPr>
            <w:r>
              <w:rPr>
                <w:lang w:val="en-US"/>
              </w:rPr>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tabs>
                <w:tab w:val="clear" w:pos="708"/>
                <w:tab w:val="left" w:pos="720" w:leader="none"/>
              </w:tabs>
              <w:suppressAutoHyphens w:val="true"/>
              <w:spacing w:lineRule="auto" w:line="240" w:before="0" w:after="0"/>
              <w:ind w:left="427" w:hanging="0"/>
              <w:jc w:val="both"/>
              <w:rPr>
                <w:rFonts w:ascii="Corbel" w:hAnsi="Corbel" w:eastAsia="Corbel" w:cs="Corbel"/>
                <w:color w:val="00000A"/>
                <w:sz w:val="24"/>
                <w:lang w:val="en-US"/>
              </w:rPr>
            </w:pPr>
            <w:r>
              <w:rPr>
                <w:rFonts w:eastAsia="Corbel" w:cs="Corbel" w:ascii="Corbel" w:hAnsi="Corbel"/>
                <w:color w:val="00000A"/>
                <w:sz w:val="24"/>
                <w:lang w:val="en-US"/>
              </w:rPr>
            </w:r>
          </w:p>
          <w:p>
            <w:pPr>
              <w:pStyle w:val="Normal"/>
              <w:widowControl w:val="false"/>
              <w:spacing w:lineRule="auto" w:line="240" w:before="0" w:after="0"/>
              <w:jc w:val="both"/>
              <w:rPr>
                <w:rFonts w:ascii="Corbel" w:hAnsi="Corbel" w:eastAsia="Times New Roman" w:cs="Calibri"/>
                <w:b/>
                <w:b/>
                <w:bCs/>
                <w:color w:val="000000"/>
                <w:sz w:val="18"/>
                <w:szCs w:val="18"/>
                <w:u w:val="single"/>
              </w:rPr>
            </w:pPr>
            <w:r>
              <w:rPr>
                <w:rFonts w:ascii="Corbel" w:hAnsi="Corbel"/>
                <w:b/>
                <w:color w:val="000000"/>
                <w:sz w:val="18"/>
                <w:u w:val="single"/>
              </w:rPr>
              <w:t>Special Cases</w:t>
            </w:r>
          </w:p>
          <w:p>
            <w:pPr>
              <w:pStyle w:val="ListParagraph"/>
              <w:widowControl w:val="false"/>
              <w:numPr>
                <w:ilvl w:val="0"/>
                <w:numId w:val="6"/>
              </w:numPr>
              <w:spacing w:lineRule="auto" w:line="240" w:before="0" w:after="0"/>
              <w:ind w:left="426" w:hanging="360"/>
              <w:contextualSpacing/>
              <w:jc w:val="both"/>
              <w:rPr>
                <w:rFonts w:ascii="Corbel" w:hAnsi="Corbel"/>
                <w:sz w:val="24"/>
                <w:szCs w:val="24"/>
              </w:rPr>
            </w:pPr>
            <w:r>
              <w:rPr>
                <w:rFonts w:ascii="Corbel" w:hAnsi="Corbel"/>
                <w:sz w:val="24"/>
              </w:rPr>
              <w:t>For households with disabled members, the parameter set out in point B of the table shall be considered ADEQUATE if the distance does not exceed 100 km, irrespective of the duration of the benefit.</w:t>
            </w:r>
          </w:p>
          <w:p>
            <w:pPr>
              <w:pStyle w:val="ListParagraph"/>
              <w:widowControl w:val="false"/>
              <w:numPr>
                <w:ilvl w:val="0"/>
                <w:numId w:val="6"/>
              </w:numPr>
              <w:spacing w:lineRule="auto" w:line="240" w:before="0" w:after="0"/>
              <w:ind w:left="426" w:hanging="360"/>
              <w:contextualSpacing/>
              <w:jc w:val="both"/>
              <w:rPr>
                <w:rFonts w:ascii="Corbel" w:hAnsi="Corbel"/>
                <w:sz w:val="24"/>
                <w:szCs w:val="24"/>
              </w:rPr>
            </w:pPr>
            <w:r>
              <w:rPr>
                <w:rFonts w:ascii="Corbel" w:hAnsi="Corbel"/>
                <w:sz w:val="24"/>
              </w:rPr>
              <w:t>In the case of households with children under age 3, the parameter referred to in point B shall be considered ADEQUATE if the distance does not exceed 100 km in the case of the first offer and 250 km in all other cases.  This situation applies only to the first 24 months of the benefit.</w:t>
            </w:r>
          </w:p>
          <w:p>
            <w:pPr>
              <w:pStyle w:val="Normal"/>
              <w:widowControl w:val="false"/>
              <w:suppressAutoHyphens w:val="true"/>
              <w:spacing w:lineRule="auto" w:line="240" w:before="0" w:after="0"/>
              <w:jc w:val="both"/>
              <w:rPr/>
            </w:pPr>
            <w:r>
              <w:rPr/>
            </w:r>
          </w:p>
        </w:tc>
      </w:tr>
    </w:tbl>
    <w:p>
      <w:pPr>
        <w:pStyle w:val="Normal"/>
        <w:suppressAutoHyphens w:val="true"/>
        <w:spacing w:lineRule="auto" w:line="240"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40"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40"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40"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76" w:before="0" w:after="0"/>
        <w:jc w:val="both"/>
        <w:rPr>
          <w:rFonts w:ascii="Corbel" w:hAnsi="Corbel" w:eastAsia="Corbel" w:cs="Corbel"/>
          <w:b/>
          <w:b/>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E  </w:t>
      </w:r>
      <w:r>
        <w:rPr>
          <w:rFonts w:ascii="Corbel" w:hAnsi="Corbel"/>
          <w:b/>
          <w:color w:val="00000A"/>
          <w:sz w:val="24"/>
        </w:rPr>
        <w:t xml:space="preserve"> Frequency and methods of contact with the Employment Office</w:t>
      </w:r>
    </w:p>
    <w:tbl>
      <w:tblPr>
        <w:tblW w:w="10490" w:type="dxa"/>
        <w:jc w:val="left"/>
        <w:tblInd w:w="-147" w:type="dxa"/>
        <w:tblLayout w:type="fixed"/>
        <w:tblCellMar>
          <w:top w:w="0" w:type="dxa"/>
          <w:left w:w="38" w:type="dxa"/>
          <w:bottom w:w="0" w:type="dxa"/>
          <w:right w:w="38"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rPr>
            </w:pPr>
            <w:r>
              <w:rPr>
                <w:rFonts w:ascii="Corbel" w:hAnsi="Corbel"/>
                <w:color w:val="00000A"/>
                <w:sz w:val="24"/>
              </w:rPr>
              <w:t xml:space="preserve">The ordinary frequency of contact between Mr./Ms.  </w:t>
            </w:r>
            <w:r>
              <w:rPr>
                <w:rFonts w:ascii="Corbel" w:hAnsi="Corbel"/>
                <w:color w:val="00000A"/>
                <w:sz w:val="16"/>
              </w:rPr>
              <w:t>____________________________</w:t>
            </w:r>
            <w:r>
              <w:rPr>
                <w:rFonts w:ascii="Corbel" w:hAnsi="Corbel"/>
                <w:color w:val="00000A"/>
                <w:sz w:val="24"/>
              </w:rPr>
              <w:t xml:space="preserve">    and the Employment Office shall be</w:t>
            </w:r>
          </w:p>
          <w:p>
            <w:pPr>
              <w:pStyle w:val="Normal"/>
              <w:widowControl w:val="false"/>
              <w:suppressAutoHyphens w:val="true"/>
              <w:spacing w:lineRule="auto" w:line="240" w:before="0" w:after="0"/>
              <w:jc w:val="both"/>
              <w:rPr/>
            </w:pPr>
            <w:r>
              <w:rPr>
                <w:rFonts w:ascii="Corbel" w:hAnsi="Corbel"/>
                <w:color w:val="00000A"/>
                <w:sz w:val="24"/>
              </w:rPr>
              <w:t>Agreed on the basis of the following appointments:</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 xml:space="preserve">day__/ __/___ at ___; day_/ __/___ at ___; day__/ ____ at ____;  </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rPr>
            </w:pPr>
            <w:r>
              <w:rPr>
                <w:rFonts w:ascii="Corbel" w:hAnsi="Corbel"/>
                <w:color w:val="00000A"/>
                <w:sz w:val="24"/>
              </w:rPr>
              <w:t xml:space="preserve">day__/ __/___ at ___; day_/ __/___ at ___; day__/ ____ at ____;  </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i/>
                <w:i/>
              </w:rPr>
            </w:pPr>
            <w:r>
              <w:rPr>
                <w:rFonts w:ascii="Corbel" w:hAnsi="Corbel"/>
                <w:color w:val="00000A"/>
                <w:sz w:val="24"/>
              </w:rPr>
              <w:t>(</w:t>
            </w:r>
            <w:r>
              <w:rPr>
                <w:rFonts w:ascii="Corbel" w:hAnsi="Corbel"/>
                <w:i/>
                <w:color w:val="00000A"/>
                <w:sz w:val="20"/>
              </w:rPr>
              <w:t>Automatism that provides an alert if the user does not come to the scheduled appointments - important for traceability and the application of the penalty system)</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4"/>
              </w:rPr>
            </w:pPr>
            <w:r>
              <w:rPr>
                <w:rFonts w:ascii="Corbel" w:hAnsi="Corbel"/>
                <w:color w:val="00000A"/>
                <w:sz w:val="24"/>
              </w:rPr>
              <w:t xml:space="preserve">Further summons by the EO may be made with at least 24 hours advance notice (and no more than 72 hours), as follows:  </w:t>
            </w:r>
          </w:p>
          <w:p>
            <w:pPr>
              <w:pStyle w:val="Normal"/>
              <w:widowControl w:val="false"/>
              <w:suppressAutoHyphens w:val="true"/>
              <w:spacing w:lineRule="auto" w:line="240" w:before="0" w:after="0"/>
              <w:rPr>
                <w:rFonts w:ascii="Calibri" w:hAnsi="Calibri" w:eastAsia="Calibri" w:cs="Calibri"/>
                <w:color w:val="00000A"/>
                <w:sz w:val="24"/>
              </w:rPr>
            </w:pPr>
            <w:r>
              <w:rPr>
                <w:color w:val="00000A"/>
                <w:sz w:val="24"/>
              </w:rPr>
              <w:t>[ ] via SMS/TEL.  to the phone number</w:t>
            </w:r>
          </w:p>
          <w:p>
            <w:pPr>
              <w:pStyle w:val="Normal"/>
              <w:widowControl w:val="false"/>
              <w:suppressAutoHyphens w:val="true"/>
              <w:spacing w:lineRule="auto" w:line="240" w:before="0" w:after="0"/>
              <w:jc w:val="both"/>
              <w:rPr/>
            </w:pPr>
            <w:r>
              <w:rPr>
                <w:color w:val="00000A"/>
                <w:sz w:val="24"/>
              </w:rPr>
              <w:t xml:space="preserve">[ ] by mail to the following address - </w:t>
            </w:r>
            <w:r>
              <w:rPr>
                <w:rFonts w:ascii="Corbel" w:hAnsi="Corbel"/>
                <w:color w:val="00000A"/>
                <w:sz w:val="24"/>
              </w:rPr>
              <w:t>[ ] hand-delivered letter</w:t>
            </w:r>
          </w:p>
        </w:tc>
      </w:tr>
    </w:tbl>
    <w:p>
      <w:pPr>
        <w:pStyle w:val="Normal"/>
        <w:suppressAutoHyphens w:val="true"/>
        <w:spacing w:lineRule="auto" w:line="240" w:before="0" w:after="0"/>
        <w:jc w:val="both"/>
        <w:rPr>
          <w:rFonts w:ascii="Corbel" w:hAnsi="Corbel" w:eastAsia="Corbel" w:cs="Corbel"/>
          <w:color w:val="00000A"/>
          <w:sz w:val="24"/>
        </w:rPr>
      </w:pPr>
      <w:r>
        <w:rPr>
          <w:rFonts w:eastAsia="Corbel" w:cs="Corbel" w:ascii="Corbel" w:hAnsi="Corbel"/>
          <w:color w:val="00000A"/>
          <w:sz w:val="24"/>
        </w:rPr>
      </w:r>
    </w:p>
    <w:p>
      <w:pPr>
        <w:pStyle w:val="Normal"/>
        <w:suppressAutoHyphens w:val="true"/>
        <w:spacing w:lineRule="auto" w:line="276" w:before="0" w:after="0"/>
        <w:jc w:val="both"/>
        <w:rPr>
          <w:rFonts w:ascii="Corbel" w:hAnsi="Corbel" w:eastAsia="Corbel" w:cs="Corbel"/>
          <w:b/>
          <w:b/>
          <w:color w:val="00000A"/>
          <w:sz w:val="24"/>
        </w:rPr>
      </w:pPr>
      <w:r>
        <w:rPr>
          <w:rFonts w:ascii="Corbel" w:hAnsi="Corbel"/>
          <w:b/>
          <w:color w:val="FFFFFF" w:themeColor="background1"/>
          <w:sz w:val="24"/>
          <w:shd w:fill="0000FF" w:val="clear"/>
        </w:rPr>
        <w:t xml:space="preserve">  </w:t>
      </w:r>
      <w:r>
        <w:rPr>
          <w:rFonts w:ascii="Corbel" w:hAnsi="Corbel"/>
          <w:b/>
          <w:color w:val="FFFFFF" w:themeColor="background1"/>
          <w:sz w:val="24"/>
          <w:shd w:fill="0000FF" w:val="clear"/>
        </w:rPr>
        <w:t xml:space="preserve">F  </w:t>
      </w:r>
      <w:r>
        <w:rPr>
          <w:rFonts w:ascii="Corbel" w:hAnsi="Corbel"/>
          <w:b/>
          <w:color w:val="FFFFFF" w:themeColor="background1"/>
          <w:sz w:val="24"/>
        </w:rPr>
        <w:t xml:space="preserve"> </w:t>
      </w:r>
      <w:r>
        <w:rPr>
          <w:rFonts w:ascii="Corbel" w:hAnsi="Corbel"/>
          <w:b/>
          <w:color w:val="00000A"/>
          <w:sz w:val="24"/>
        </w:rPr>
        <w:t>Personalised project to improve employability</w:t>
      </w:r>
    </w:p>
    <w:tbl>
      <w:tblPr>
        <w:tblW w:w="10490" w:type="dxa"/>
        <w:jc w:val="left"/>
        <w:tblInd w:w="-147" w:type="dxa"/>
        <w:tblLayout w:type="fixed"/>
        <w:tblCellMar>
          <w:top w:w="0" w:type="dxa"/>
          <w:left w:w="38" w:type="dxa"/>
          <w:bottom w:w="0" w:type="dxa"/>
          <w:right w:w="38"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Following the interview, it is agreed that Mr./Ms.</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will participate in the following activities:</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Web"/>
              <w:widowControl w:val="false"/>
              <w:rPr/>
            </w:pPr>
            <w:r>
              <w:rPr>
                <w:rFonts w:ascii="Corbel" w:hAnsi="Corbel"/>
                <w:color w:val="00000A"/>
                <w:sz w:val="18"/>
              </w:rPr>
              <w:t xml:space="preserve">(List of planned services - </w:t>
            </w:r>
            <w:r>
              <w:rPr>
                <w:i/>
                <w:sz w:val="18"/>
              </w:rPr>
              <w:t>Part that can be automatically implemented from the current booked services table)</w:t>
            </w:r>
          </w:p>
        </w:tc>
      </w:tr>
    </w:tbl>
    <w:p>
      <w:pPr>
        <w:pStyle w:val="Normal"/>
        <w:suppressAutoHyphens w:val="true"/>
        <w:spacing w:lineRule="auto" w:line="276" w:before="0" w:after="0"/>
        <w:jc w:val="both"/>
        <w:rPr>
          <w:rFonts w:ascii="Arial" w:hAnsi="Arial" w:cs="Arial"/>
        </w:rPr>
      </w:pPr>
      <w:r>
        <w:rPr>
          <w:rFonts w:ascii="Arial" w:hAnsi="Arial"/>
        </w:rPr>
        <w:t>Also add a field the operator can write in</w:t>
      </w:r>
    </w:p>
    <w:p>
      <w:pPr>
        <w:pStyle w:val="Normal"/>
        <w:suppressAutoHyphens w:val="true"/>
        <w:spacing w:lineRule="auto" w:line="276"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76" w:before="0" w:after="0"/>
        <w:jc w:val="both"/>
        <w:rPr>
          <w:rFonts w:ascii="Corbel" w:hAnsi="Corbel" w:eastAsia="Corbel" w:cs="Corbel"/>
          <w:b/>
          <w:b/>
          <w:color w:val="00000A"/>
          <w:sz w:val="24"/>
        </w:rPr>
      </w:pPr>
      <w:r>
        <w:rPr>
          <w:rFonts w:ascii="Corbel" w:hAnsi="Corbel"/>
          <w:b/>
          <w:color w:val="FFFFFF"/>
          <w:sz w:val="24"/>
          <w:shd w:fill="0000FF" w:val="clear"/>
        </w:rPr>
        <w:t xml:space="preserve">  </w:t>
      </w:r>
      <w:r>
        <w:rPr>
          <w:rFonts w:ascii="Corbel" w:hAnsi="Corbel"/>
          <w:b/>
          <w:color w:val="FFFFFF"/>
          <w:sz w:val="24"/>
          <w:shd w:fill="0000FF" w:val="clear"/>
        </w:rPr>
        <w:t xml:space="preserve">G  </w:t>
      </w:r>
      <w:r>
        <w:rPr>
          <w:rFonts w:ascii="Corbel" w:hAnsi="Corbel"/>
          <w:b/>
          <w:color w:val="00000A"/>
          <w:sz w:val="24"/>
        </w:rPr>
        <w:t xml:space="preserve">  Planned actions for the job search</w:t>
      </w:r>
    </w:p>
    <w:tbl>
      <w:tblPr>
        <w:tblW w:w="10490" w:type="dxa"/>
        <w:jc w:val="left"/>
        <w:tblInd w:w="-104" w:type="dxa"/>
        <w:tblLayout w:type="fixed"/>
        <w:tblCellMar>
          <w:top w:w="0" w:type="dxa"/>
          <w:left w:w="38" w:type="dxa"/>
          <w:bottom w:w="0" w:type="dxa"/>
          <w:right w:w="38" w:type="dxa"/>
        </w:tblCellMar>
        <w:tblLook w:val="04a0" w:noVBand="1" w:noHBand="0" w:lastColumn="0" w:firstColumn="1" w:lastRow="0" w:firstRow="1"/>
      </w:tblPr>
      <w:tblGrid>
        <w:gridCol w:w="10490"/>
      </w:tblGrid>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In view of the user’s educational and professional experience, declared interests,</w:t>
            </w:r>
            <w:r>
              <w:rPr>
                <w:rFonts w:ascii="Corbel" w:hAnsi="Corbel"/>
                <w:color w:val="FF0000"/>
                <w:sz w:val="24"/>
              </w:rPr>
              <w:t xml:space="preserve"> </w:t>
            </w:r>
            <w:r>
              <w:rPr>
                <w:rFonts w:ascii="Corbel" w:hAnsi="Corbel"/>
                <w:sz w:val="24"/>
              </w:rPr>
              <w:t>typology of user as per box “A”,</w:t>
            </w:r>
            <w:r>
              <w:rPr>
                <w:rFonts w:ascii="Corbel" w:hAnsi="Corbel"/>
                <w:color w:val="FF0000"/>
                <w:sz w:val="24"/>
              </w:rPr>
              <w:t xml:space="preserve"> </w:t>
            </w:r>
            <w:r>
              <w:rPr>
                <w:rFonts w:ascii="Corbel" w:hAnsi="Corbel"/>
                <w:color w:val="00000A"/>
                <w:sz w:val="24"/>
              </w:rPr>
              <w:t>as well as the characteristics of the reference labour market, it is agreed that job search activity will be directed mainly toward:</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 xml:space="preserve">the following sectors </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 xml:space="preserve">the following professional profiles  </w:t>
            </w:r>
            <w:r>
              <w:rPr>
                <w:rFonts w:ascii="Corbel" w:hAnsi="Corbel"/>
                <w:i/>
                <w:color w:val="00000A"/>
                <w:sz w:val="16"/>
              </w:rPr>
              <w:t>Insert table summarising the qualifications and selected preferences</w:t>
            </w:r>
          </w:p>
        </w:tc>
      </w:tr>
      <w:tr>
        <w:trPr>
          <w:trHeight w:val="1" w:hRule="atLeast"/>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 xml:space="preserve">the following geographical areas </w:t>
            </w:r>
            <w:r>
              <w:rPr>
                <w:rFonts w:ascii="Corbel" w:hAnsi="Corbel"/>
                <w:i/>
                <w:color w:val="00000A"/>
                <w:sz w:val="16"/>
              </w:rPr>
              <w:t>Field to be automatically exploited with the availability for geographical mobility specified in the page “Other knowledge and availability”</w:t>
            </w:r>
          </w:p>
        </w:tc>
      </w:tr>
      <w:tr>
        <w:trPr/>
        <w:tc>
          <w:tcPr>
            <w:tcW w:w="10490"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pPr>
            <w:r>
              <w:rPr>
                <w:rFonts w:ascii="Corbel" w:hAnsi="Corbel"/>
                <w:color w:val="00000A"/>
                <w:sz w:val="24"/>
              </w:rPr>
              <w:t>It is furthermore agreed that Mr./Ms. will independently carry out the following active search activities (compatible with the typology in box “A”) and account for them to the EO by sharing the “</w:t>
            </w:r>
            <w:r>
              <w:rPr>
                <w:rFonts w:ascii="Corbel" w:hAnsi="Corbel"/>
                <w:color w:val="00000A"/>
                <w:sz w:val="24"/>
                <w:u w:val="single"/>
              </w:rPr>
              <w:t>Diary of activities</w:t>
            </w:r>
            <w:r>
              <w:rPr>
                <w:rFonts w:ascii="Corbel" w:hAnsi="Corbel"/>
                <w:color w:val="00000A"/>
                <w:sz w:val="24"/>
              </w:rPr>
              <w:t xml:space="preserve">” </w:t>
            </w:r>
            <w:r>
              <w:rPr>
                <w:rFonts w:ascii="Corbel" w:hAnsi="Corbel"/>
                <w:i/>
                <w:iCs/>
                <w:color w:val="00000A"/>
                <w:sz w:val="24"/>
              </w:rPr>
              <w:t>(Document attached to this Agreement)</w:t>
            </w:r>
            <w:r>
              <w:rPr>
                <w:rFonts w:ascii="Corbel" w:hAnsi="Corbel"/>
                <w:color w:val="00000A"/>
                <w:sz w:val="24"/>
              </w:rPr>
              <w:t xml:space="preserve">                                                          </w:t>
            </w:r>
          </w:p>
        </w:tc>
      </w:tr>
    </w:tbl>
    <w:p>
      <w:pPr>
        <w:pStyle w:val="Normal"/>
        <w:suppressAutoHyphens w:val="true"/>
        <w:spacing w:lineRule="auto" w:line="276" w:before="0" w:after="0"/>
        <w:jc w:val="both"/>
        <w:rPr>
          <w:rFonts w:ascii="Corbel" w:hAnsi="Corbel" w:eastAsia="Corbel" w:cs="Corbel"/>
          <w:b/>
          <w:b/>
          <w:color w:val="FFFFFF"/>
          <w:sz w:val="24"/>
          <w:shd w:fill="0000FF" w:val="clear"/>
        </w:rPr>
      </w:pPr>
      <w:r>
        <w:rPr>
          <w:rFonts w:eastAsia="Corbel" w:cs="Corbel" w:ascii="Corbel" w:hAnsi="Corbel"/>
          <w:b/>
          <w:color w:val="FFFFFF"/>
          <w:sz w:val="24"/>
          <w:shd w:fill="0000FF" w:val="clear"/>
        </w:rPr>
      </w:r>
    </w:p>
    <w:p>
      <w:pPr>
        <w:pStyle w:val="Normal"/>
        <w:suppressAutoHyphens w:val="true"/>
        <w:spacing w:lineRule="auto" w:line="276" w:before="0" w:after="200"/>
        <w:jc w:val="both"/>
        <w:rPr>
          <w:rFonts w:ascii="Corbel" w:hAnsi="Corbel" w:eastAsia="Corbel" w:cs="Corbel"/>
          <w:i/>
          <w:i/>
          <w:color w:val="00000A"/>
          <w:sz w:val="18"/>
          <w:szCs w:val="18"/>
        </w:rPr>
      </w:pPr>
      <w:r>
        <w:rPr>
          <w:rFonts w:ascii="Corbel" w:hAnsi="Corbel"/>
          <w:b/>
          <w:color w:val="FFFFFF" w:themeColor="background1"/>
          <w:sz w:val="24"/>
          <w:shd w:fill="0000FF" w:val="clear"/>
        </w:rPr>
        <w:t xml:space="preserve">  </w:t>
      </w:r>
      <w:r>
        <w:rPr>
          <w:rFonts w:ascii="Corbel" w:hAnsi="Corbel"/>
          <w:b/>
          <w:color w:val="FFFFFF" w:themeColor="background1"/>
          <w:sz w:val="24"/>
          <w:shd w:fill="0000FF" w:val="clear"/>
        </w:rPr>
        <w:t xml:space="preserve">H  </w:t>
      </w:r>
      <w:r>
        <w:rPr>
          <w:rFonts w:ascii="Corbel" w:hAnsi="Corbel"/>
          <w:b/>
          <w:color w:val="00000A"/>
          <w:sz w:val="24"/>
        </w:rPr>
        <w:t xml:space="preserve">Penalty regime </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Conservation of the state of unemployment and/or the provision of benefits are conditional on users' adherence to personalised paths.  Specifically:</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[1] - Users who receive income support instruments (Ref. D.Lgs 150/15, arts. 21 and 22)</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 xml:space="preserve">Failure to come to scheduled appointments or arranged summons and the refusal of an active policy (internship, etc.) or adequate offer of employment shall, in the absence of justified reasons, entail the application of penalties ranging from the reduction of the received allowance to loss of the allowance and the state of unemployment. In the latter case, a new Declaration of Immediate Availability cannot be made before two months have elapsed.  </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 xml:space="preserve">[2] - Unemployed people who do not receive income support instruments </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eastAsia="Corbel" w:cs="Calibri" w:cstheme="minorHAnsi"/>
          <w:color w:val="00000A"/>
        </w:rPr>
      </w:pPr>
      <w:r>
        <w:rPr>
          <w:rFonts w:ascii="Corbel" w:hAnsi="Corbel"/>
          <w:color w:val="00000A"/>
          <w:sz w:val="20"/>
        </w:rPr>
        <w:t xml:space="preserve">Failure to come to scheduled appointments or arranged summons, or the refusal of an active policy (internship, etc.) or adequate offer of employment shall, in the absence of justified reasons, entail the loss of the state of unemployment. This loss, moreover, can be determined automatically </w:t>
      </w:r>
      <w:r>
        <w:rPr/>
        <w:t>at the end of 12 months from the use of the last service provided, in the absence of the subject’s activation (Ref. point 4.4 All. 1 DGR 1019/20).</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 xml:space="preserve">[3] - Users registered on the basis of Law 68/99 </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For users registered based on L. 68/99, refer to the relevant regulations for non-recipients (L.68/99 art. 10 par. 6), while for the recipients of income support instruments, the penalty system referred to in point 1 above shall apply.</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[4] - Users enrolled in the Youth Guarantee (YG) Program</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 xml:space="preserve">The following specific conditions apply to YG users who satisfy the criteria specified in the cases provided for in paragraphs 1, 3 and 5 above. All other users are in any case required to follow the agreements in the PSA, which provide for the automatic cancellation of the state of unemployment at the end of 12 months from the conclusion of the agreement in the absence of the subject’s activation. </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[5] - Users who receive Citizens’ Income (CI) (Ref. DL 4/19, art.7)</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The conditions relating to citizenship income are subdivided as follows:</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Revocation, in the cases provided for in paragraphs 3, 5 and 6</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Reductions in the event of failure to comply with a summons by the EOs (paragraph 7)</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Reductions in the event of non-participation in guidance initiatives (paragraph 8)</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Reductions for non-compliance with the agreed commitments regarding the attendance of training courses.</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rPr>
      </w:pPr>
      <w:r>
        <w:rPr>
          <w:rFonts w:ascii="Corbel" w:hAnsi="Corbel"/>
          <w:color w:val="00000A"/>
          <w:sz w:val="20"/>
        </w:rPr>
        <w:t>For CI beneficiaries with ongoing ADRs (reallocation allowances), conditions shall be applied pursuant to the provisions of ANPAL note no. 14898 of 11/11/19</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szCs w:val="20"/>
        </w:rPr>
      </w:pPr>
      <w:r>
        <w:rPr>
          <w:rFonts w:ascii="Corbel" w:hAnsi="Corbel"/>
          <w:color w:val="00000A"/>
          <w:sz w:val="20"/>
        </w:rPr>
        <w:t>All penalties or notifications of events liable to penalty are enacted from the day on which the breach occurs. INPS shall be promptly notified of all breaches for the recipients provided for by law. For CI beneficiaries, the communication must take place within 10 days of the event, in accordance with the procedures described in the aforementioned ANPAL circular and subsequent regional provisions</w:t>
      </w:r>
    </w:p>
    <w:p>
      <w:pPr>
        <w:pStyle w:val="Normal"/>
        <w:pBdr>
          <w:top w:val="single" w:sz="4" w:space="1" w:color="000000"/>
          <w:left w:val="single" w:sz="4" w:space="4" w:color="000000"/>
          <w:bottom w:val="single" w:sz="4" w:space="2" w:color="000000"/>
          <w:right w:val="single" w:sz="4" w:space="4" w:color="000000"/>
        </w:pBdr>
        <w:suppressAutoHyphens w:val="true"/>
        <w:spacing w:lineRule="auto" w:line="240" w:before="0" w:after="0"/>
        <w:jc w:val="both"/>
        <w:rPr>
          <w:rFonts w:ascii="Corbel" w:hAnsi="Corbel" w:eastAsia="Corbel" w:cs="Corbel"/>
          <w:color w:val="00000A"/>
          <w:sz w:val="20"/>
          <w:szCs w:val="20"/>
        </w:rPr>
      </w:pPr>
      <w:r>
        <w:rPr>
          <w:rFonts w:ascii="Corbel" w:hAnsi="Corbel"/>
          <w:color w:val="00000A"/>
          <w:sz w:val="20"/>
        </w:rPr>
        <w:t>Penalties are enacted from the moment the breach occurs. Such breaches are communicated to the CI platforms through application sharing.</w:t>
      </w:r>
    </w:p>
    <w:p>
      <w:pPr>
        <w:pStyle w:val="Normal"/>
        <w:suppressAutoHyphens w:val="true"/>
        <w:spacing w:lineRule="auto" w:line="276" w:before="0" w:after="200"/>
        <w:jc w:val="both"/>
        <w:rPr>
          <w:rFonts w:ascii="Corbel" w:hAnsi="Corbel" w:eastAsia="Corbel" w:cs="Corbel"/>
          <w:color w:val="00000A"/>
          <w:sz w:val="24"/>
        </w:rPr>
      </w:pPr>
      <w:r>
        <w:rPr>
          <w:rFonts w:eastAsia="Corbel" w:cs="Corbel" w:ascii="Corbel" w:hAnsi="Corbel"/>
          <w:color w:val="00000A"/>
          <w:sz w:val="24"/>
        </w:rPr>
      </w:r>
    </w:p>
    <w:p>
      <w:pPr>
        <w:pStyle w:val="Normal"/>
        <w:suppressAutoHyphens w:val="true"/>
        <w:spacing w:lineRule="auto" w:line="276" w:before="0" w:after="200"/>
        <w:rPr>
          <w:rFonts w:ascii="Corbel" w:hAnsi="Corbel" w:eastAsia="Corbel" w:cs="Corbel"/>
          <w:color w:val="00000A"/>
          <w:sz w:val="24"/>
        </w:rPr>
      </w:pPr>
      <w:r>
        <w:rPr>
          <w:rFonts w:ascii="Corbel" w:hAnsi="Corbel"/>
          <w:b/>
          <w:color w:val="FFFFFF" w:themeColor="background1"/>
          <w:sz w:val="24"/>
          <w:shd w:fill="0000FF" w:val="clear"/>
        </w:rPr>
        <w:t xml:space="preserve">  </w:t>
      </w:r>
      <w:r>
        <w:rPr>
          <w:rFonts w:ascii="Corbel" w:hAnsi="Corbel"/>
          <w:b/>
          <w:color w:val="FFFFFF" w:themeColor="background1"/>
          <w:sz w:val="24"/>
          <w:shd w:fill="0000FF" w:val="clear"/>
        </w:rPr>
        <w:t xml:space="preserve">I  </w:t>
      </w:r>
      <w:r>
        <w:rPr>
          <w:rFonts w:ascii="Corbel" w:hAnsi="Corbel"/>
          <w:color w:val="00000A"/>
          <w:sz w:val="24"/>
        </w:rPr>
        <w:t xml:space="preserve"> </w:t>
      </w:r>
      <w:r>
        <w:rPr>
          <w:rFonts w:ascii="Corbel" w:hAnsi="Corbel"/>
          <w:b/>
          <w:color w:val="00000A"/>
          <w:sz w:val="24"/>
        </w:rPr>
        <w:t>Justified reasons</w:t>
      </w:r>
    </w:p>
    <w:tbl>
      <w:tblPr>
        <w:tblW w:w="10163" w:type="dxa"/>
        <w:jc w:val="left"/>
        <w:tblInd w:w="38" w:type="dxa"/>
        <w:tblLayout w:type="fixed"/>
        <w:tblCellMar>
          <w:top w:w="0" w:type="dxa"/>
          <w:left w:w="38" w:type="dxa"/>
          <w:bottom w:w="0" w:type="dxa"/>
          <w:right w:w="38" w:type="dxa"/>
        </w:tblCellMar>
        <w:tblLook w:val="04a0" w:noVBand="1" w:noHBand="0" w:lastColumn="0" w:firstColumn="1" w:lastRow="0" w:firstRow="1"/>
      </w:tblPr>
      <w:tblGrid>
        <w:gridCol w:w="10163"/>
      </w:tblGrid>
      <w:tr>
        <w:trPr>
          <w:trHeight w:val="1" w:hRule="atLeast"/>
        </w:trPr>
        <w:tc>
          <w:tcPr>
            <w:tcW w:w="10163"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0"/>
                <w:szCs w:val="20"/>
              </w:rPr>
            </w:pPr>
            <w:r>
              <w:rPr>
                <w:rFonts w:ascii="Corbel" w:hAnsi="Corbel"/>
                <w:color w:val="00000A"/>
                <w:sz w:val="20"/>
              </w:rPr>
              <w:t xml:space="preserve">Justified reasons must be communicated to the following </w:t>
            </w:r>
            <w:r>
              <w:rPr>
                <w:rFonts w:ascii="Corbel" w:hAnsi="Corbel"/>
                <w:sz w:val="20"/>
              </w:rPr>
              <w:t xml:space="preserve">address (EO mail to be implemented automatically) </w:t>
            </w:r>
            <w:r>
              <w:rPr>
                <w:rFonts w:ascii="Corbel" w:hAnsi="Corbel"/>
                <w:color w:val="00000A"/>
                <w:sz w:val="20"/>
              </w:rPr>
              <w:t>and documented by the date and time established for the appointment or scheduled activity, and in any case no later than the day following the scheduled date (or within 2 working days in the case of rejection of a reasonable offer). Otherwise, the penalties discussed in box H, above, will be applied. List of justified reasons:</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eastAsia="Corbel" w:cs="Corbel"/>
                <w:color w:val="00000A"/>
                <w:sz w:val="20"/>
                <w:szCs w:val="20"/>
              </w:rPr>
            </w:pPr>
            <w:r>
              <w:rPr>
                <w:rFonts w:ascii="Corbel" w:hAnsi="Corbel"/>
                <w:color w:val="00000A"/>
                <w:sz w:val="20"/>
              </w:rPr>
              <w:t xml:space="preserve">Documented illness or accident </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eastAsia="Corbel" w:cs="Corbel"/>
                <w:color w:val="00000A"/>
                <w:sz w:val="20"/>
                <w:szCs w:val="20"/>
              </w:rPr>
            </w:pPr>
            <w:r>
              <w:rPr>
                <w:rFonts w:ascii="Corbel" w:hAnsi="Corbel"/>
                <w:color w:val="00000A"/>
                <w:sz w:val="20"/>
              </w:rPr>
              <w:t>Civil service/Conscription</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eastAsia="Corbel" w:cs="Corbel"/>
                <w:color w:val="00000A"/>
                <w:sz w:val="20"/>
                <w:szCs w:val="20"/>
              </w:rPr>
            </w:pPr>
            <w:r>
              <w:rPr>
                <w:rFonts w:ascii="Corbel" w:hAnsi="Corbel"/>
                <w:color w:val="00000A"/>
                <w:sz w:val="20"/>
              </w:rPr>
              <w:t>Pregnancy, for the periods of leave provided for by law</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eastAsia="Corbel" w:cs="Corbel"/>
                <w:color w:val="00000A"/>
                <w:sz w:val="20"/>
                <w:szCs w:val="20"/>
              </w:rPr>
            </w:pPr>
            <w:r>
              <w:rPr>
                <w:rFonts w:ascii="Corbel" w:hAnsi="Corbel"/>
                <w:color w:val="00000A"/>
                <w:sz w:val="20"/>
              </w:rPr>
              <w:t>Serious documented family reasons</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eastAsia="Corbel" w:cs="Corbel"/>
                <w:color w:val="00000A"/>
                <w:sz w:val="20"/>
                <w:szCs w:val="20"/>
              </w:rPr>
            </w:pPr>
            <w:r>
              <w:rPr>
                <w:rFonts w:ascii="Corbel" w:hAnsi="Corbel"/>
                <w:color w:val="00000A"/>
                <w:sz w:val="20"/>
              </w:rPr>
              <w:t>Cases of legal limitation of personal mobility</w:t>
            </w:r>
          </w:p>
          <w:p>
            <w:pPr>
              <w:pStyle w:val="Normal"/>
              <w:widowControl w:val="false"/>
              <w:numPr>
                <w:ilvl w:val="0"/>
                <w:numId w:val="4"/>
              </w:numPr>
              <w:tabs>
                <w:tab w:val="clear" w:pos="708"/>
                <w:tab w:val="left" w:pos="720" w:leader="none"/>
              </w:tabs>
              <w:suppressAutoHyphens w:val="true"/>
              <w:spacing w:lineRule="auto" w:line="240" w:before="0" w:after="0"/>
              <w:ind w:left="432" w:hanging="360"/>
              <w:jc w:val="both"/>
              <w:rPr>
                <w:rFonts w:ascii="Corbel" w:hAnsi="Corbel"/>
                <w:sz w:val="20"/>
                <w:szCs w:val="20"/>
              </w:rPr>
            </w:pPr>
            <w:r>
              <w:rPr>
                <w:rFonts w:ascii="Corbel" w:hAnsi="Corbel"/>
                <w:color w:val="00000A"/>
                <w:sz w:val="20"/>
              </w:rPr>
              <w:t xml:space="preserve">Any other proven objective impediment and/or cause of </w:t>
            </w:r>
            <w:r>
              <w:rPr>
                <w:rFonts w:ascii="Corbel" w:hAnsi="Corbel"/>
                <w:i/>
                <w:iCs/>
                <w:color w:val="00000A"/>
                <w:sz w:val="20"/>
              </w:rPr>
              <w:t>force majeure</w:t>
            </w:r>
            <w:r>
              <w:rPr>
                <w:rFonts w:ascii="Corbel" w:hAnsi="Corbel"/>
                <w:color w:val="00000A"/>
                <w:sz w:val="20"/>
              </w:rPr>
              <w:t xml:space="preserve"> that prevents the subject from coming, without any possibility of subjective or discretionary evaluation by the latter</w:t>
            </w:r>
          </w:p>
          <w:p>
            <w:pPr>
              <w:pStyle w:val="Normal"/>
              <w:widowControl w:val="false"/>
              <w:suppressAutoHyphens w:val="true"/>
              <w:spacing w:lineRule="auto" w:line="240" w:before="0" w:after="0"/>
              <w:jc w:val="both"/>
              <w:rPr>
                <w:rFonts w:ascii="Corbel" w:hAnsi="Corbel" w:eastAsia="Calibri" w:cs="Calibri"/>
                <w:color w:val="00000A"/>
                <w:sz w:val="20"/>
                <w:szCs w:val="20"/>
              </w:rPr>
            </w:pPr>
            <w:r>
              <w:rPr>
                <w:rFonts w:ascii="Corbel" w:hAnsi="Corbel"/>
                <w:color w:val="00000A"/>
                <w:sz w:val="20"/>
              </w:rPr>
              <w:t>In the event of a fixed-term contract compatible with the state of unemployment, training course, or other activities not constituting an employment relationship (work experience, scholarships, research grants), the individual concerned is responsible for communicating and documenting in advance their inability to come to the scheduled appointment. In any case, the individual concerned is required to contact the Employment Office to schedule a new appointment or come in person within 30 days of the end of the aforementioned employment relationship.</w:t>
            </w:r>
          </w:p>
          <w:p>
            <w:pPr>
              <w:pStyle w:val="Normal"/>
              <w:widowControl w:val="false"/>
              <w:suppressAutoHyphens w:val="true"/>
              <w:spacing w:lineRule="auto" w:line="240" w:before="0" w:after="0"/>
              <w:jc w:val="both"/>
              <w:rPr>
                <w:rFonts w:ascii="Corbel" w:hAnsi="Corbel"/>
                <w:sz w:val="20"/>
                <w:szCs w:val="20"/>
              </w:rPr>
            </w:pPr>
            <w:r>
              <w:rPr>
                <w:rFonts w:ascii="Corbel" w:hAnsi="Corbel"/>
                <w:color w:val="00000A"/>
                <w:sz w:val="20"/>
              </w:rPr>
              <w:t>For users participating in the Youth Guarantee program, a mismatch between the contents of the planned training project and the actual job to be carried out shall constitute a justified reason, in the event of abandonment of the proposed activity.</w:t>
            </w:r>
          </w:p>
        </w:tc>
      </w:tr>
    </w:tbl>
    <w:p>
      <w:pPr>
        <w:pStyle w:val="Normal"/>
        <w:suppressAutoHyphens w:val="true"/>
        <w:spacing w:lineRule="auto" w:line="276" w:before="0" w:after="200"/>
        <w:jc w:val="both"/>
        <w:rPr>
          <w:rFonts w:ascii="Corbel" w:hAnsi="Corbel" w:eastAsia="Corbel" w:cs="Corbel"/>
          <w:b/>
          <w:b/>
          <w:color w:val="FFFFFF"/>
          <w:sz w:val="24"/>
        </w:rPr>
      </w:pPr>
      <w:r>
        <w:rPr>
          <w:rFonts w:eastAsia="Corbel" w:cs="Corbel" w:ascii="Corbel" w:hAnsi="Corbel"/>
          <w:b/>
          <w:color w:val="FFFFFF"/>
          <w:sz w:val="24"/>
        </w:rPr>
      </w:r>
    </w:p>
    <w:p>
      <w:pPr>
        <w:pStyle w:val="Normal"/>
        <w:suppressAutoHyphens w:val="true"/>
        <w:spacing w:lineRule="auto" w:line="240" w:before="0" w:after="0"/>
        <w:jc w:val="both"/>
        <w:rPr>
          <w:rFonts w:ascii="Corbel" w:hAnsi="Corbel" w:eastAsia="Corbel" w:cs="Corbel"/>
          <w:b/>
          <w:b/>
          <w:color w:val="00000A"/>
          <w:sz w:val="24"/>
        </w:rPr>
      </w:pPr>
      <w:r>
        <w:rPr>
          <w:rFonts w:ascii="Corbel" w:hAnsi="Corbel"/>
          <w:b/>
          <w:color w:val="FFFFFF" w:themeColor="background1"/>
          <w:sz w:val="24"/>
          <w:shd w:fill="0000FF" w:val="clear"/>
        </w:rPr>
        <w:t xml:space="preserve">  </w:t>
      </w:r>
      <w:r>
        <w:rPr>
          <w:rFonts w:ascii="Corbel" w:hAnsi="Corbel"/>
          <w:b/>
          <w:color w:val="FFFFFF" w:themeColor="background1"/>
          <w:sz w:val="24"/>
          <w:shd w:fill="0000FF" w:val="clear"/>
        </w:rPr>
        <w:t xml:space="preserve">L   </w:t>
      </w:r>
      <w:r>
        <w:rPr>
          <w:rFonts w:ascii="Corbel" w:hAnsi="Corbel"/>
          <w:color w:val="00000A"/>
          <w:sz w:val="24"/>
        </w:rPr>
        <w:t xml:space="preserve"> </w:t>
      </w:r>
      <w:r>
        <w:rPr>
          <w:rFonts w:ascii="Corbel" w:hAnsi="Corbel"/>
          <w:b/>
          <w:color w:val="00000A"/>
          <w:sz w:val="24"/>
        </w:rPr>
        <w:t>Notification of penalty measures and the terms and conditions of appeal</w:t>
      </w:r>
    </w:p>
    <w:tbl>
      <w:tblPr>
        <w:tblW w:w="10163" w:type="dxa"/>
        <w:jc w:val="left"/>
        <w:tblInd w:w="38" w:type="dxa"/>
        <w:tblLayout w:type="fixed"/>
        <w:tblCellMar>
          <w:top w:w="0" w:type="dxa"/>
          <w:left w:w="38" w:type="dxa"/>
          <w:bottom w:w="0" w:type="dxa"/>
          <w:right w:w="38" w:type="dxa"/>
        </w:tblCellMar>
        <w:tblLook w:val="04a0" w:noVBand="1" w:noHBand="0" w:lastColumn="0" w:firstColumn="1" w:lastRow="0" w:firstRow="1"/>
      </w:tblPr>
      <w:tblGrid>
        <w:gridCol w:w="10163"/>
      </w:tblGrid>
      <w:tr>
        <w:trPr>
          <w:trHeight w:val="1" w:hRule="atLeast"/>
        </w:trPr>
        <w:tc>
          <w:tcPr>
            <w:tcW w:w="10163"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uppressAutoHyphens w:val="true"/>
              <w:spacing w:lineRule="auto" w:line="240" w:before="0" w:after="0"/>
              <w:jc w:val="both"/>
              <w:rPr>
                <w:rFonts w:ascii="Corbel" w:hAnsi="Corbel" w:eastAsia="Corbel" w:cs="Corbel"/>
                <w:color w:val="00000A"/>
                <w:sz w:val="20"/>
              </w:rPr>
            </w:pPr>
            <w:r>
              <w:rPr>
                <w:rFonts w:ascii="Corbel" w:hAnsi="Corbel"/>
                <w:color w:val="00000A"/>
                <w:sz w:val="20"/>
              </w:rPr>
              <w:t xml:space="preserve">With reference to the system of conditions provided for by current regulations, the events liable to give rise to penalties against CI beneficiaries (DM 4/19 and subsequent modifications and additions art. 7), penalties for income support instrument beneficiaries (e.g. NASPI) pursuant to art. 21 paragraph 10 of D.Lgs 150/15, as well as the penalties for non-recipients, are available on the regional information system (citizen's portal, “Janet”).  After logging in to the portal, the user can access the specific section in order to consult the list of measures undertaken against him/her and display any detailed information (e.g. type, date of event and date of communication to INPS) </w:t>
            </w:r>
          </w:p>
          <w:p>
            <w:pPr>
              <w:pStyle w:val="Normal"/>
              <w:widowControl w:val="false"/>
              <w:suppressAutoHyphens w:val="true"/>
              <w:spacing w:lineRule="auto" w:line="240" w:before="0" w:after="0"/>
              <w:jc w:val="both"/>
              <w:rPr>
                <w:rFonts w:ascii="Corbel" w:hAnsi="Corbel" w:eastAsia="Corbel" w:cs="Corbel"/>
                <w:color w:val="00000A"/>
                <w:sz w:val="20"/>
              </w:rPr>
            </w:pPr>
            <w:r>
              <w:rPr>
                <w:rFonts w:eastAsia="Corbel" w:cs="Corbel" w:ascii="Corbel" w:hAnsi="Corbel"/>
                <w:color w:val="00000A"/>
                <w:sz w:val="20"/>
              </w:rPr>
            </w:r>
          </w:p>
          <w:p>
            <w:pPr>
              <w:pStyle w:val="Normal"/>
              <w:widowControl w:val="false"/>
              <w:suppressAutoHyphens w:val="true"/>
              <w:spacing w:lineRule="auto" w:line="240" w:before="0" w:after="0"/>
              <w:jc w:val="both"/>
              <w:rPr>
                <w:rFonts w:ascii="Corbel" w:hAnsi="Corbel" w:eastAsia="Corbel" w:cs="Corbel"/>
                <w:color w:val="00000A"/>
                <w:sz w:val="20"/>
              </w:rPr>
            </w:pPr>
            <w:r>
              <w:rPr>
                <w:rFonts w:ascii="Corbel" w:hAnsi="Corbel"/>
                <w:color w:val="00000A"/>
                <w:sz w:val="20"/>
              </w:rPr>
              <w:t>POSSIBILITY OF APPEAL</w:t>
            </w:r>
          </w:p>
          <w:p>
            <w:pPr>
              <w:pStyle w:val="ListParagraph"/>
              <w:widowControl w:val="false"/>
              <w:numPr>
                <w:ilvl w:val="0"/>
                <w:numId w:val="8"/>
              </w:numPr>
              <w:suppressAutoHyphens w:val="true"/>
              <w:spacing w:lineRule="auto" w:line="240" w:before="0" w:after="0"/>
              <w:contextualSpacing/>
              <w:jc w:val="both"/>
              <w:rPr>
                <w:rFonts w:ascii="Corbel" w:hAnsi="Corbel" w:eastAsia="Corbel" w:cs="Corbel"/>
                <w:color w:val="00000A"/>
                <w:sz w:val="20"/>
              </w:rPr>
            </w:pPr>
            <w:r>
              <w:rPr>
                <w:rFonts w:ascii="Corbel" w:hAnsi="Corbel"/>
                <w:color w:val="00000A"/>
                <w:sz w:val="20"/>
              </w:rPr>
              <w:t xml:space="preserve">Recourse to the “Committee for Appeals” set up by ANPAL </w:t>
            </w:r>
            <w:r>
              <w:rPr>
                <w:rFonts w:ascii="Corbel" w:hAnsi="Corbel"/>
                <w:color w:val="00000A"/>
                <w:sz w:val="20"/>
                <w:u w:val="single"/>
              </w:rPr>
              <w:t>for beneficiaries of income support instruments (e.g. NASPI</w:t>
            </w:r>
            <w:r>
              <w:rPr>
                <w:rFonts w:ascii="Corbel" w:hAnsi="Corbel"/>
                <w:color w:val="00000A"/>
                <w:sz w:val="20"/>
              </w:rPr>
              <w:t xml:space="preserve">), under the following conditions: within 30 days from the date of publication of the measure by certified e-mail to ricorsi.condizionalita@pec.anpal.gov.it, or by registered letter to: “Comitato per i ricorsi di condizionalità, presso ANPAL – Via Fornovo 8, 00192 Roma” </w:t>
            </w:r>
            <w:r>
              <w:rPr>
                <w:rFonts w:ascii="Corbel" w:hAnsi="Corbel"/>
                <w:i/>
                <w:color w:val="00000A"/>
                <w:sz w:val="18"/>
              </w:rPr>
              <w:t>(ANPAL resolution no. 2/18 and subsequent ANPAL circular no. 6509 of 29/5/18).</w:t>
            </w:r>
          </w:p>
          <w:p>
            <w:pPr>
              <w:pStyle w:val="ListParagraph"/>
              <w:widowControl w:val="false"/>
              <w:numPr>
                <w:ilvl w:val="0"/>
                <w:numId w:val="8"/>
              </w:numPr>
              <w:suppressAutoHyphens w:val="true"/>
              <w:spacing w:lineRule="auto" w:line="240" w:before="0" w:after="0"/>
              <w:contextualSpacing/>
              <w:jc w:val="both"/>
              <w:rPr>
                <w:rFonts w:ascii="Corbel" w:hAnsi="Corbel" w:eastAsia="Corbel" w:cs="Corbel"/>
                <w:color w:val="00000A"/>
                <w:sz w:val="20"/>
                <w:szCs w:val="20"/>
              </w:rPr>
            </w:pPr>
            <w:r>
              <w:rPr>
                <w:rFonts w:ascii="Corbel" w:hAnsi="Corbel"/>
                <w:color w:val="00000A"/>
                <w:sz w:val="20"/>
              </w:rPr>
              <w:t xml:space="preserve">Recourse to INPS for CI beneficiaries </w:t>
            </w:r>
          </w:p>
          <w:p>
            <w:pPr>
              <w:pStyle w:val="ListParagraph"/>
              <w:widowControl w:val="false"/>
              <w:numPr>
                <w:ilvl w:val="0"/>
                <w:numId w:val="8"/>
              </w:numPr>
              <w:suppressAutoHyphens w:val="true"/>
              <w:spacing w:lineRule="auto" w:line="240" w:before="0" w:after="0"/>
              <w:contextualSpacing/>
              <w:jc w:val="both"/>
              <w:rPr>
                <w:rFonts w:ascii="Corbel" w:hAnsi="Corbel" w:eastAsia="Corbel" w:cs="Corbel"/>
                <w:color w:val="00000A"/>
                <w:sz w:val="20"/>
              </w:rPr>
            </w:pPr>
            <w:r>
              <w:rPr>
                <w:rFonts w:ascii="Corbel" w:hAnsi="Corbel"/>
                <w:color w:val="00000A"/>
                <w:sz w:val="20"/>
              </w:rPr>
              <w:t>Recourse to the Marche regional administrative court within 60 days (art. 29 of D.Lgs no. 104 of 02/07/2010 and subsequent modifications and additions) and appeal to the Head of State within 120 days (art. 9 of DPR no. 1199 of 24/11/1971 and subsequent modifications and additions).</w:t>
            </w:r>
          </w:p>
          <w:p>
            <w:pPr>
              <w:pStyle w:val="Normal"/>
              <w:widowControl w:val="false"/>
              <w:suppressAutoHyphens w:val="true"/>
              <w:spacing w:lineRule="auto" w:line="240" w:before="0" w:after="0"/>
              <w:jc w:val="both"/>
              <w:rPr>
                <w:strike/>
              </w:rPr>
            </w:pPr>
            <w:r>
              <w:rPr>
                <w:strike/>
              </w:rPr>
            </w:r>
          </w:p>
        </w:tc>
      </w:tr>
    </w:tbl>
    <w:p>
      <w:pPr>
        <w:pStyle w:val="Normal"/>
        <w:suppressAutoHyphens w:val="true"/>
        <w:spacing w:lineRule="auto" w:line="240" w:before="0" w:after="0"/>
        <w:rPr>
          <w:rFonts w:ascii="Corbel" w:hAnsi="Corbel" w:eastAsia="Corbel" w:cs="Corbel"/>
          <w:color w:val="FF0000"/>
          <w:sz w:val="18"/>
        </w:rPr>
      </w:pPr>
      <w:r>
        <w:rPr>
          <w:rFonts w:eastAsia="Corbel" w:cs="Corbel" w:ascii="Corbel" w:hAnsi="Corbel"/>
          <w:color w:val="FF0000"/>
          <w:sz w:val="18"/>
        </w:rPr>
      </w:r>
    </w:p>
    <w:p>
      <w:pPr>
        <w:pStyle w:val="Normal"/>
        <w:suppressAutoHyphens w:val="true"/>
        <w:spacing w:lineRule="auto" w:line="240" w:before="0" w:after="0"/>
        <w:jc w:val="both"/>
        <w:rPr>
          <w:rFonts w:ascii="Corbel" w:hAnsi="Corbel" w:eastAsia="Corbel" w:cs="Corbel"/>
          <w:b/>
          <w:b/>
          <w:color w:val="00000A"/>
          <w:sz w:val="24"/>
        </w:rPr>
      </w:pPr>
      <w:r>
        <w:rPr>
          <w:rFonts w:ascii="Corbel" w:hAnsi="Corbel"/>
          <w:b/>
          <w:color w:val="FFFFFF" w:themeColor="background1"/>
          <w:sz w:val="24"/>
          <w:shd w:fill="0000FF" w:val="clear"/>
        </w:rPr>
        <w:t xml:space="preserve">  </w:t>
      </w:r>
      <w:r>
        <w:rPr>
          <w:rFonts w:ascii="Corbel" w:hAnsi="Corbel"/>
          <w:b/>
          <w:color w:val="FFFFFF" w:themeColor="background1"/>
          <w:sz w:val="24"/>
          <w:shd w:fill="0000FF" w:val="clear"/>
        </w:rPr>
        <w:t xml:space="preserve">M </w:t>
      </w:r>
      <w:r>
        <w:rPr>
          <w:rFonts w:ascii="Corbel" w:hAnsi="Corbel"/>
          <w:b/>
          <w:color w:val="00000A"/>
          <w:sz w:val="24"/>
          <w:shd w:fill="0000FF" w:val="clear"/>
        </w:rPr>
        <w:t xml:space="preserve"> </w:t>
      </w:r>
      <w:r>
        <w:rPr>
          <w:rFonts w:ascii="Corbel" w:hAnsi="Corbel"/>
          <w:color w:val="00000A"/>
          <w:sz w:val="24"/>
        </w:rPr>
        <w:t xml:space="preserve"> </w:t>
      </w:r>
      <w:r>
        <w:rPr>
          <w:rFonts w:ascii="Corbel" w:hAnsi="Corbel"/>
          <w:b/>
          <w:color w:val="00000A"/>
          <w:sz w:val="24"/>
        </w:rPr>
        <w:t>Duration of the Agreement</w:t>
      </w:r>
    </w:p>
    <w:tbl>
      <w:tblPr>
        <w:tblW w:w="10206" w:type="dxa"/>
        <w:jc w:val="left"/>
        <w:tblInd w:w="-5" w:type="dxa"/>
        <w:tblLayout w:type="fixed"/>
        <w:tblCellMar>
          <w:top w:w="0" w:type="dxa"/>
          <w:left w:w="38" w:type="dxa"/>
          <w:bottom w:w="0" w:type="dxa"/>
          <w:right w:w="38" w:type="dxa"/>
        </w:tblCellMar>
        <w:tblLook w:val="04a0" w:noVBand="1" w:noHBand="0" w:lastColumn="0" w:firstColumn="1" w:lastRow="0" w:firstRow="1"/>
      </w:tblPr>
      <w:tblGrid>
        <w:gridCol w:w="10206"/>
      </w:tblGrid>
      <w:tr>
        <w:trPr>
          <w:trHeight w:val="1" w:hRule="atLeast"/>
        </w:trPr>
        <w:tc>
          <w:tcPr>
            <w:tcW w:w="10206"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40" w:before="0" w:after="0"/>
              <w:rPr>
                <w:rFonts w:ascii="Corbel" w:hAnsi="Corbel" w:cs="CalibriRegular"/>
                <w:sz w:val="20"/>
                <w:szCs w:val="20"/>
              </w:rPr>
            </w:pPr>
            <w:r>
              <w:rPr>
                <w:rFonts w:ascii="Corbel" w:hAnsi="Corbel"/>
                <w:sz w:val="20"/>
              </w:rPr>
              <w:t>This Agreement ends</w:t>
            </w:r>
            <w:r>
              <w:rPr>
                <w:rFonts w:ascii="Corbel" w:hAnsi="Corbel"/>
                <w:b/>
                <w:sz w:val="20"/>
              </w:rPr>
              <w:t xml:space="preserve"> </w:t>
            </w:r>
            <w:r>
              <w:rPr>
                <w:rFonts w:ascii="Corbel" w:hAnsi="Corbel"/>
                <w:sz w:val="20"/>
              </w:rPr>
              <w:t>with a change in employment status (</w:t>
            </w:r>
            <w:r>
              <w:rPr>
                <w:rFonts w:ascii="Corbel" w:hAnsi="Corbel"/>
                <w:i/>
                <w:sz w:val="20"/>
              </w:rPr>
              <w:t>loss of the state of unemployment as a result of being hired or new employment with income above the threshold dictated by current legislation</w:t>
            </w:r>
            <w:r>
              <w:rPr>
                <w:rFonts w:ascii="Corbel" w:hAnsi="Corbel"/>
                <w:sz w:val="20"/>
              </w:rPr>
              <w:t>) or due to failure to comply with the commitments made with the signing of the service contract.</w:t>
            </w:r>
          </w:p>
          <w:p>
            <w:pPr>
              <w:pStyle w:val="Normal"/>
              <w:widowControl w:val="false"/>
              <w:spacing w:lineRule="auto" w:line="240" w:before="0" w:after="0"/>
              <w:rPr>
                <w:rFonts w:ascii="Corbel" w:hAnsi="Corbel" w:cs="CalibriRegular"/>
                <w:sz w:val="20"/>
                <w:szCs w:val="20"/>
              </w:rPr>
            </w:pPr>
            <w:r>
              <w:rPr>
                <w:rFonts w:ascii="Corbel" w:hAnsi="Corbel"/>
                <w:sz w:val="20"/>
              </w:rPr>
              <w:t>If the signatory:</w:t>
            </w:r>
          </w:p>
          <w:p>
            <w:pPr>
              <w:pStyle w:val="ListParagraph"/>
              <w:widowControl w:val="false"/>
              <w:numPr>
                <w:ilvl w:val="0"/>
                <w:numId w:val="5"/>
              </w:numPr>
              <w:spacing w:lineRule="auto" w:line="240" w:before="0" w:after="0"/>
              <w:contextualSpacing/>
              <w:rPr>
                <w:rFonts w:ascii="Corbel" w:hAnsi="Corbel" w:cs="CalibriRegular"/>
                <w:sz w:val="20"/>
                <w:szCs w:val="20"/>
              </w:rPr>
            </w:pPr>
            <w:r>
              <w:rPr>
                <w:rFonts w:ascii="Corbel" w:hAnsi="Corbel"/>
                <w:sz w:val="20"/>
                <w:u w:val="single"/>
              </w:rPr>
              <w:t>is unemployed and does not receive</w:t>
            </w:r>
            <w:r>
              <w:rPr>
                <w:rFonts w:ascii="Corbel" w:hAnsi="Corbel"/>
                <w:sz w:val="20"/>
              </w:rPr>
              <w:t xml:space="preserve"> social welfare benefits, the Agreement may be signed again on the same day as its expiry</w:t>
            </w:r>
          </w:p>
          <w:p>
            <w:pPr>
              <w:pStyle w:val="ListParagraph"/>
              <w:widowControl w:val="false"/>
              <w:numPr>
                <w:ilvl w:val="0"/>
                <w:numId w:val="5"/>
              </w:numPr>
              <w:spacing w:lineRule="auto" w:line="240" w:before="0" w:after="0"/>
              <w:contextualSpacing/>
              <w:rPr>
                <w:rFonts w:ascii="Corbel" w:hAnsi="Corbel" w:cs="CalibriRegular"/>
                <w:sz w:val="20"/>
                <w:szCs w:val="20"/>
              </w:rPr>
            </w:pPr>
            <w:r>
              <w:rPr>
                <w:rFonts w:ascii="Corbel" w:hAnsi="Corbel"/>
                <w:sz w:val="20"/>
                <w:u w:val="single"/>
              </w:rPr>
              <w:t xml:space="preserve">receives </w:t>
            </w:r>
            <w:r>
              <w:rPr>
                <w:rFonts w:ascii="Corbel" w:hAnsi="Corbel"/>
                <w:sz w:val="20"/>
              </w:rPr>
              <w:t>income support measures (e.g. Naspi), a new Declaration of Immediate Availability cannot be made before two months have elapsed</w:t>
            </w:r>
          </w:p>
          <w:p>
            <w:pPr>
              <w:pStyle w:val="ListParagraph"/>
              <w:widowControl w:val="false"/>
              <w:numPr>
                <w:ilvl w:val="0"/>
                <w:numId w:val="5"/>
              </w:numPr>
              <w:spacing w:lineRule="auto" w:line="240" w:before="0" w:after="0"/>
              <w:contextualSpacing/>
              <w:rPr>
                <w:rFonts w:ascii="Corbel" w:hAnsi="Corbel" w:cs="CalibriRegular"/>
                <w:sz w:val="20"/>
                <w:szCs w:val="20"/>
              </w:rPr>
            </w:pPr>
            <w:r>
              <w:rPr>
                <w:rFonts w:ascii="Corbel" w:hAnsi="Corbel"/>
                <w:sz w:val="20"/>
                <w:u w:val="single"/>
              </w:rPr>
              <w:t>is a citizens’ income beneficiary</w:t>
            </w:r>
            <w:r>
              <w:rPr>
                <w:rFonts w:ascii="Corbel" w:hAnsi="Corbel"/>
                <w:sz w:val="20"/>
              </w:rPr>
              <w:t>, the assistance (and therefore the employment agreement linked to it) may only be requested 18 months from the date of the penalty measure (except in the cases of criminal penalties; see article 7 par. 3). In such cases, as an exception to these terms, only new registration and the underwriting of an ordinary PSA are possible.</w:t>
            </w:r>
          </w:p>
          <w:p>
            <w:pPr>
              <w:pStyle w:val="Normal"/>
              <w:widowControl w:val="false"/>
              <w:spacing w:lineRule="auto" w:line="240" w:before="0" w:after="0"/>
              <w:rPr>
                <w:rFonts w:ascii="Calibri" w:hAnsi="Calibri" w:eastAsia="Calibri" w:cs="Calibri"/>
              </w:rPr>
            </w:pPr>
            <w:r>
              <w:rPr>
                <w:rFonts w:eastAsia="Calibri" w:cs="Calibri"/>
              </w:rPr>
            </w:r>
          </w:p>
        </w:tc>
      </w:tr>
    </w:tbl>
    <w:p>
      <w:pPr>
        <w:pStyle w:val="Normal"/>
        <w:suppressAutoHyphens w:val="true"/>
        <w:spacing w:lineRule="auto" w:line="276" w:before="0" w:after="200"/>
        <w:rPr>
          <w:rFonts w:ascii="Arial" w:hAnsi="Arial" w:eastAsia="Arial" w:cs="Arial"/>
          <w:color w:val="00000A"/>
          <w:sz w:val="18"/>
        </w:rPr>
      </w:pPr>
      <w:r>
        <w:rPr>
          <w:rFonts w:eastAsia="Arial" w:cs="Arial" w:ascii="Arial" w:hAnsi="Arial"/>
          <w:color w:val="00000A"/>
          <w:sz w:val="18"/>
        </w:rPr>
      </w:r>
    </w:p>
    <w:p>
      <w:pPr>
        <w:pStyle w:val="Normal"/>
        <w:suppressAutoHyphens w:val="true"/>
        <w:spacing w:lineRule="auto" w:line="276" w:before="0" w:after="200"/>
        <w:rPr>
          <w:rFonts w:ascii="Arial" w:hAnsi="Arial" w:eastAsia="Arial" w:cs="Arial"/>
          <w:color w:val="00000A"/>
          <w:sz w:val="18"/>
        </w:rPr>
      </w:pPr>
      <w:r>
        <w:rPr>
          <w:rFonts w:eastAsia="Arial" w:cs="Arial" w:ascii="Arial" w:hAnsi="Arial"/>
          <w:color w:val="00000A"/>
          <w:sz w:val="18"/>
        </w:rPr>
      </w:r>
    </w:p>
    <w:p>
      <w:pPr>
        <w:pStyle w:val="Normal"/>
        <w:suppressAutoHyphens w:val="true"/>
        <w:spacing w:lineRule="auto" w:line="240" w:before="0" w:after="0"/>
        <w:rPr>
          <w:rFonts w:ascii="Arial" w:hAnsi="Arial" w:eastAsia="Arial" w:cs="Arial"/>
          <w:color w:val="00000A"/>
          <w:sz w:val="18"/>
        </w:rPr>
      </w:pPr>
      <w:r>
        <w:rPr>
          <w:rFonts w:ascii="Arial" w:hAnsi="Arial"/>
          <w:color w:val="00000A"/>
          <w:sz w:val="18"/>
        </w:rPr>
        <w:t xml:space="preserve">Date _________________ </w:t>
        <w:tab/>
        <w:tab/>
        <w:tab/>
        <w:tab/>
        <w:t>Signature of EO Manager (first and surname)__</w:t>
      </w:r>
    </w:p>
    <w:p>
      <w:pPr>
        <w:pStyle w:val="Normal"/>
        <w:suppressAutoHyphens w:val="true"/>
        <w:spacing w:lineRule="auto" w:line="240" w:before="0" w:after="0"/>
        <w:rPr>
          <w:rFonts w:eastAsia="Arial" w:cs="Calibri" w:cstheme="minorHAnsi"/>
          <w:sz w:val="20"/>
          <w:szCs w:val="20"/>
        </w:rPr>
      </w:pPr>
      <w:r>
        <w:rPr>
          <w:rFonts w:ascii="Arial" w:hAnsi="Arial"/>
          <w:color w:val="E62237"/>
        </w:rPr>
        <w:t xml:space="preserve">                                                     </w:t>
      </w:r>
      <w:r>
        <w:rPr>
          <w:sz w:val="20"/>
        </w:rPr>
        <w:t>Signature replaced by printing pursuant to art. 3, par. 2 of D. Lgs. 39/1993</w:t>
      </w:r>
    </w:p>
    <w:p>
      <w:pPr>
        <w:pStyle w:val="Normal"/>
        <w:suppressAutoHyphens w:val="true"/>
        <w:spacing w:lineRule="auto" w:line="276" w:before="0" w:after="200"/>
        <w:ind w:left="4248" w:firstLine="708"/>
        <w:rPr>
          <w:rFonts w:ascii="Arial" w:hAnsi="Arial" w:eastAsia="Arial" w:cs="Arial"/>
          <w:color w:val="00000A"/>
          <w:sz w:val="18"/>
        </w:rPr>
      </w:pPr>
      <w:r>
        <w:rPr>
          <w:rFonts w:eastAsia="Arial" w:cs="Arial" w:ascii="Arial" w:hAnsi="Arial"/>
          <w:color w:val="00000A"/>
          <w:sz w:val="18"/>
        </w:rPr>
      </w:r>
    </w:p>
    <w:p>
      <w:pPr>
        <w:pStyle w:val="Normal"/>
        <w:suppressAutoHyphens w:val="true"/>
        <w:spacing w:lineRule="auto" w:line="276" w:before="0" w:after="200"/>
        <w:ind w:left="4248" w:firstLine="708"/>
        <w:rPr>
          <w:rFonts w:ascii="Arial" w:hAnsi="Arial" w:eastAsia="Arial" w:cs="Arial"/>
          <w:b/>
          <w:b/>
          <w:color w:val="000000"/>
          <w:sz w:val="16"/>
        </w:rPr>
      </w:pPr>
      <w:r>
        <w:rPr>
          <w:rFonts w:ascii="Arial" w:hAnsi="Arial"/>
          <w:color w:val="00000A"/>
          <w:sz w:val="18"/>
        </w:rPr>
        <w:t>User signature ____________________________</w:t>
      </w:r>
    </w:p>
    <w:p>
      <w:pPr>
        <w:pStyle w:val="Normal"/>
        <w:keepNext w:val="true"/>
        <w:suppressAutoHyphens w:val="true"/>
        <w:spacing w:lineRule="auto" w:line="240" w:before="120" w:after="0"/>
        <w:jc w:val="both"/>
        <w:rPr>
          <w:rFonts w:ascii="Arial" w:hAnsi="Arial" w:eastAsia="Arial" w:cs="Arial"/>
          <w:b/>
          <w:b/>
          <w:color w:val="000000"/>
          <w:sz w:val="16"/>
          <w:szCs w:val="16"/>
        </w:rPr>
      </w:pPr>
      <w:r>
        <w:rPr>
          <w:rFonts w:eastAsia="Arial" w:cs="Arial" w:ascii="Arial" w:hAnsi="Arial"/>
          <w:b/>
          <w:color w:val="000000"/>
          <w:sz w:val="16"/>
          <w:szCs w:val="16"/>
        </w:rPr>
      </w:r>
    </w:p>
    <w:p>
      <w:pPr>
        <w:pStyle w:val="Normal"/>
        <w:keepNext w:val="true"/>
        <w:suppressAutoHyphens w:val="true"/>
        <w:spacing w:lineRule="auto" w:line="240" w:before="120" w:after="0"/>
        <w:jc w:val="both"/>
        <w:rPr>
          <w:rFonts w:ascii="Arial" w:hAnsi="Arial" w:eastAsia="Arial" w:cs="Arial"/>
          <w:color w:val="000000"/>
          <w:sz w:val="16"/>
          <w:szCs w:val="16"/>
        </w:rPr>
      </w:pPr>
      <w:r>
        <w:rPr>
          <w:rFonts w:ascii="Arial" w:hAnsi="Arial"/>
          <w:b/>
          <w:color w:val="000000"/>
          <w:sz w:val="16"/>
        </w:rPr>
        <w:t xml:space="preserve">Information pursuant to Regulation (EU) 2016/679 -”REGULATION OF THE EUROPEAN PARLIAMENT </w:t>
      </w:r>
      <w:r>
        <w:rPr>
          <w:rFonts w:ascii="Arial" w:hAnsi="Arial"/>
          <w:color w:val="000000"/>
          <w:sz w:val="16"/>
        </w:rPr>
        <w:t>on the protection of natural persons with regard to the processing of personal data and on the free movement of such data, and repealing Directive 95/46/EC (General Data Protection Regulation)”.</w:t>
      </w:r>
    </w:p>
    <w:p>
      <w:pPr>
        <w:pStyle w:val="Normal"/>
        <w:keepNext w:val="true"/>
        <w:suppressAutoHyphens w:val="true"/>
        <w:spacing w:lineRule="auto" w:line="240" w:before="120" w:after="0"/>
        <w:jc w:val="both"/>
        <w:rPr>
          <w:rFonts w:ascii="Arial" w:hAnsi="Arial" w:eastAsia="Arial" w:cs="Arial"/>
          <w:color w:val="000000"/>
          <w:sz w:val="16"/>
          <w:szCs w:val="16"/>
        </w:rPr>
      </w:pPr>
      <w:r>
        <w:rPr>
          <w:rFonts w:ascii="Arial" w:hAnsi="Arial"/>
          <w:color w:val="000000"/>
          <w:sz w:val="16"/>
        </w:rPr>
        <w:t xml:space="preserve">We inform you that your data will be processed in compliance with the same standards and can be merged into the Unitary Information System of Labour Policies as set out in art. 13 of D.L.gs. no. 150/15 and subsequent modifications and additions. </w:t>
      </w:r>
    </w:p>
    <w:p>
      <w:pPr>
        <w:pStyle w:val="Normal"/>
        <w:suppressAutoHyphens w:val="true"/>
        <w:spacing w:lineRule="auto" w:line="276" w:before="0" w:after="200"/>
        <w:rPr>
          <w:rFonts w:ascii="Arial" w:hAnsi="Arial" w:eastAsia="Arial" w:cs="Arial"/>
          <w:color w:val="000000"/>
          <w:sz w:val="16"/>
        </w:rPr>
      </w:pPr>
      <w:r>
        <w:rPr>
          <w:rFonts w:ascii="Arial" w:hAnsi="Arial"/>
          <w:color w:val="000000"/>
          <w:sz w:val="16"/>
        </w:rPr>
        <w:t>I have read the above Privacy Policy</w:t>
      </w:r>
      <w:r>
        <w:rPr>
          <w:rFonts w:ascii="Arial" w:hAnsi="Arial"/>
          <w:color w:val="000000"/>
          <w:sz w:val="14"/>
        </w:rPr>
        <w:t>.</w:t>
      </w:r>
      <w:r>
        <w:rPr>
          <w:rFonts w:ascii="Arial" w:hAnsi="Arial"/>
          <w:color w:val="000000"/>
          <w:sz w:val="16"/>
        </w:rPr>
        <w:t xml:space="preserve">                  </w:t>
      </w:r>
    </w:p>
    <w:p>
      <w:pPr>
        <w:pStyle w:val="Normal"/>
        <w:suppressAutoHyphens w:val="true"/>
        <w:spacing w:lineRule="auto" w:line="276" w:before="0" w:after="200"/>
        <w:rPr>
          <w:rFonts w:ascii="Arial" w:hAnsi="Arial" w:eastAsia="Arial" w:cs="Arial"/>
          <w:color w:val="000000"/>
          <w:sz w:val="16"/>
        </w:rPr>
      </w:pPr>
      <w:r>
        <w:rPr>
          <w:rFonts w:ascii="Arial" w:hAnsi="Arial"/>
          <w:color w:val="00000A"/>
          <w:sz w:val="18"/>
        </w:rPr>
        <w:drawing>
          <wp:anchor behindDoc="0" distT="0" distB="0" distL="0" distR="0" simplePos="0" locked="0" layoutInCell="0" allowOverlap="1" relativeHeight="2">
            <wp:simplePos x="0" y="0"/>
            <wp:positionH relativeFrom="column">
              <wp:posOffset>0</wp:posOffset>
            </wp:positionH>
            <wp:positionV relativeFrom="paragraph">
              <wp:posOffset>6848475</wp:posOffset>
            </wp:positionV>
            <wp:extent cx="3240405" cy="56197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240405" cy="561975"/>
                    </a:xfrm>
                    <a:prstGeom prst="rect">
                      <a:avLst/>
                    </a:prstGeom>
                  </pic:spPr>
                </pic:pic>
              </a:graphicData>
            </a:graphic>
          </wp:anchor>
        </w:drawing>
      </w:r>
      <w:r>
        <w:rPr>
          <w:rFonts w:ascii="Arial" w:hAnsi="Arial"/>
          <w:color w:val="00000A"/>
          <w:sz w:val="18"/>
        </w:rPr>
        <w:t>User signature _________________________</w:t>
      </w:r>
    </w:p>
    <w:sectPr>
      <w:headerReference w:type="default" r:id="rId3"/>
      <w:type w:val="nextPage"/>
      <w:pgSz w:w="11906" w:h="16838"/>
      <w:pgMar w:left="851" w:right="851" w:header="425" w:top="482" w:footer="0" w:bottom="426"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swiss"/>
    <w:pitch w:val="variable"/>
  </w:font>
  <w:font w:name="Garamond">
    <w:charset w:val="01"/>
    <w:family w:val="roman"/>
    <w:pitch w:val="variable"/>
  </w:font>
  <w:font w:name="Times New Roman">
    <w:charset w:val="01"/>
    <w:family w:val="roman"/>
    <w:pitch w:val="variable"/>
  </w:font>
  <w:font w:name="Corbel">
    <w:charset w:val="01"/>
    <w:family w:val="roman"/>
    <w:pitch w:val="variable"/>
  </w:font>
  <w:font w:name="Calisto MT">
    <w:charset w:val="01"/>
    <w:family w:val="roman"/>
    <w:pitch w:val="variable"/>
  </w:font>
  <w:font w:name="CalibriRegular">
    <w:charset w:val="01"/>
    <w:family w:val="roman"/>
    <w:pitch w:val="variable"/>
  </w:font>
  <w:font w:name="Symbol">
    <w:charset w:val="02"/>
    <w:family w:val="auto"/>
    <w:pitch w:val="default"/>
  </w:font>
  <w:font w:name="Symbol">
    <w:charset w:val="02"/>
    <w:family w:val="auto"/>
    <w:pitch w:val="variable"/>
  </w:font>
  <w:font w:name="Courier New">
    <w:charset w:val="01"/>
    <w:family w:val="auto"/>
    <w:pitch w:val="variable"/>
  </w:font>
  <w:font w:name="Wingdings">
    <w:charset w:val="02"/>
    <w:family w:val="auto"/>
    <w:pitch w:val="variable"/>
  </w:font>
  <w:font w:name="Corbel">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Style w:val="Grigliatabella"/>
      <w:tblW w:w="9785" w:type="dxa"/>
      <w:jc w:val="left"/>
      <w:tblInd w:w="-601" w:type="dxa"/>
      <w:tblLayout w:type="fixed"/>
      <w:tblCellMar>
        <w:top w:w="0" w:type="dxa"/>
        <w:left w:w="108" w:type="dxa"/>
        <w:bottom w:w="0" w:type="dxa"/>
        <w:right w:w="108" w:type="dxa"/>
      </w:tblCellMar>
      <w:tblLook w:val="04a0" w:noVBand="1" w:noHBand="0" w:lastColumn="0" w:firstColumn="1" w:lastRow="0" w:firstRow="1"/>
    </w:tblPr>
    <w:tblGrid>
      <w:gridCol w:w="2693"/>
      <w:gridCol w:w="5530"/>
      <w:gridCol w:w="1562"/>
    </w:tblGrid>
    <w:tr>
      <w:trPr>
        <w:trHeight w:val="1879" w:hRule="atLeast"/>
      </w:trPr>
      <w:tc>
        <w:tcPr>
          <w:tcW w:w="2693" w:type="dxa"/>
          <w:tcBorders>
            <w:top w:val="nil"/>
            <w:left w:val="nil"/>
            <w:bottom w:val="nil"/>
            <w:right w:val="nil"/>
          </w:tcBorders>
        </w:tcPr>
        <w:p>
          <w:pPr>
            <w:pStyle w:val="Normal"/>
            <w:widowControl/>
            <w:spacing w:lineRule="auto" w:line="240" w:before="0" w:after="0"/>
            <w:ind w:left="-568" w:right="-108" w:hanging="0"/>
            <w:jc w:val="center"/>
            <w:rPr>
              <w:rFonts w:ascii="Calisto MT" w:hAnsi="Calisto MT"/>
              <w:sz w:val="16"/>
              <w:szCs w:val="16"/>
            </w:rPr>
          </w:pPr>
          <w:r>
            <w:rPr>
              <w:rFonts w:eastAsia="" w:cs="" w:ascii="Calisto MT" w:hAnsi="Calisto MT"/>
              <w:kern w:val="0"/>
              <w:sz w:val="22"/>
              <w:szCs w:val="22"/>
              <w:lang w:val="en-GB" w:eastAsia="it-IT" w:bidi="ar-SA"/>
            </w:rPr>
          </w:r>
        </w:p>
      </w:tc>
      <w:tc>
        <w:tcPr>
          <w:tcW w:w="5530" w:type="dxa"/>
          <w:tcBorders>
            <w:top w:val="nil"/>
            <w:left w:val="nil"/>
            <w:bottom w:val="nil"/>
            <w:right w:val="nil"/>
          </w:tcBorders>
        </w:tcPr>
        <w:p>
          <w:pPr>
            <w:pStyle w:val="Normal"/>
            <w:widowControl/>
            <w:spacing w:lineRule="auto" w:line="240" w:before="0" w:after="0"/>
            <w:ind w:right="252" w:hanging="0"/>
            <w:jc w:val="center"/>
            <w:rPr>
              <w:rFonts w:ascii="Calisto MT" w:hAnsi="Calisto MT"/>
              <w:sz w:val="20"/>
              <w:szCs w:val="20"/>
            </w:rPr>
          </w:pPr>
          <w:r>
            <w:rPr>
              <w:rFonts w:eastAsia="" w:cs="" w:ascii="Calisto MT" w:hAnsi="Calisto MT"/>
              <w:kern w:val="0"/>
              <w:sz w:val="22"/>
              <w:szCs w:val="22"/>
              <w:lang w:val="en-GB" w:eastAsia="it-IT" w:bidi="ar-SA"/>
            </w:rPr>
          </w:r>
        </w:p>
      </w:tc>
      <w:tc>
        <w:tcPr>
          <w:tcW w:w="1562" w:type="dxa"/>
          <w:tcBorders>
            <w:top w:val="nil"/>
            <w:left w:val="nil"/>
            <w:bottom w:val="nil"/>
            <w:right w:val="nil"/>
          </w:tcBorders>
        </w:tcPr>
        <w:p>
          <w:pPr>
            <w:pStyle w:val="Normal"/>
            <w:widowControl/>
            <w:spacing w:lineRule="auto" w:line="240" w:before="0" w:after="0"/>
            <w:ind w:right="252" w:hanging="0"/>
            <w:jc w:val="center"/>
            <w:rPr>
              <w:rFonts w:ascii="Calisto MT" w:hAnsi="Calisto MT"/>
              <w:color w:val="FF0000"/>
              <w:sz w:val="20"/>
              <w:szCs w:val="20"/>
            </w:rPr>
          </w:pPr>
          <w:r>
            <w:rPr>
              <w:rFonts w:eastAsia="" w:cs="" w:ascii="Calisto MT" w:hAnsi="Calisto MT"/>
              <w:color w:val="FF0000"/>
              <w:kern w:val="0"/>
              <w:sz w:val="22"/>
              <w:szCs w:val="22"/>
              <w:lang w:val="en-GB" w:eastAsia="it-IT" w:bidi="ar-SA"/>
            </w:rPr>
          </w:r>
        </w:p>
      </w:tc>
    </w:tr>
  </w:tbl>
  <w:p>
    <w:pPr>
      <w:pStyle w:val="Normal"/>
      <w:spacing w:lineRule="auto" w:line="240" w:before="0" w:after="0"/>
      <w:jc w:val="center"/>
      <w:rPr>
        <w:rFonts w:ascii="CalibriRegular" w:hAnsi="CalibriRegular" w:cs="CalibriRegular"/>
        <w:sz w:val="16"/>
        <w:szCs w:val="16"/>
      </w:rPr>
    </w:pPr>
    <w:r>
      <w:rPr>
        <w:rFonts w:cs="CalibriRegular" w:ascii="CalibriRegular" w:hAnsi="CalibriRegular"/>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0" w:hanging="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0" w:hanging="0"/>
      </w:pPr>
      <w:rPr>
        <w:rFonts w:ascii="Corbel" w:hAnsi="Corbel" w:cs="Corbe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4">
    <w:lvl w:ilvl="0">
      <w:start w:val="1"/>
      <w:numFmt w:val="bullet"/>
      <w:lvlText w:val="‐"/>
      <w:lvlJc w:val="left"/>
      <w:pPr>
        <w:tabs>
          <w:tab w:val="num" w:pos="0"/>
        </w:tabs>
        <w:ind w:left="0" w:hanging="0"/>
      </w:pPr>
      <w:rPr>
        <w:rFonts w:ascii="Corbel" w:hAnsi="Corbel" w:cs="Corbe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numFmt w:val="bullet"/>
      <w:lvlText w:val="-"/>
      <w:lvlJc w:val="left"/>
      <w:pPr>
        <w:tabs>
          <w:tab w:val="num" w:pos="0"/>
        </w:tabs>
        <w:ind w:left="720" w:hanging="360"/>
      </w:pPr>
      <w:rPr>
        <w:rFonts w:ascii="Corbel" w:hAnsi="Corbel" w:cs="Corbe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Corbel" w:hAnsi="Corbel" w:cs="Corbe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n-GB" w:eastAsia="it-I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 w:cs="" w:asciiTheme="minorHAnsi" w:cstheme="minorBidi" w:eastAsiaTheme="minorEastAsia" w:hAnsiTheme="minorHAnsi"/>
      <w:color w:val="auto"/>
      <w:kern w:val="0"/>
      <w:sz w:val="22"/>
      <w:szCs w:val="22"/>
      <w:lang w:val="en-GB" w:eastAsia="it-IT" w:bidi="ar-SA"/>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link w:val="Intestazione"/>
    <w:uiPriority w:val="99"/>
    <w:qFormat/>
    <w:rsid w:val="00167e6a"/>
    <w:rPr/>
  </w:style>
  <w:style w:type="character" w:styleId="PidipaginaCarattere" w:customStyle="1">
    <w:name w:val="Piè di pagina Carattere"/>
    <w:basedOn w:val="DefaultParagraphFont"/>
    <w:link w:val="Pidipagina"/>
    <w:uiPriority w:val="99"/>
    <w:qFormat/>
    <w:rsid w:val="00167e6a"/>
    <w:rPr/>
  </w:style>
  <w:style w:type="character" w:styleId="CorpotestoCarattere" w:customStyle="1">
    <w:name w:val="Corpo testo Carattere"/>
    <w:basedOn w:val="DefaultParagraphFont"/>
    <w:link w:val="Corpotesto"/>
    <w:qFormat/>
    <w:rsid w:val="00843db5"/>
    <w:rPr>
      <w:rFonts w:ascii="Arial" w:hAnsi="Arial" w:eastAsia="Times New Roman" w:cs="Times New Roman"/>
      <w:i/>
      <w:spacing w:val="12"/>
      <w:sz w:val="16"/>
      <w:szCs w:val="20"/>
    </w:rPr>
  </w:style>
  <w:style w:type="character" w:styleId="TestofumettoCarattere" w:customStyle="1">
    <w:name w:val="Testo fumetto Carattere"/>
    <w:basedOn w:val="DefaultParagraphFont"/>
    <w:link w:val="Testofumetto"/>
    <w:uiPriority w:val="99"/>
    <w:semiHidden/>
    <w:qFormat/>
    <w:rsid w:val="00df4a61"/>
    <w:rPr>
      <w:rFonts w:ascii="Segoe UI" w:hAnsi="Segoe UI" w:cs="Segoe UI"/>
      <w:sz w:val="18"/>
      <w:szCs w:val="18"/>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link w:val="CorpotestoCarattere"/>
    <w:rsid w:val="00843db5"/>
    <w:pPr>
      <w:spacing w:lineRule="auto" w:line="240" w:before="0" w:after="0"/>
      <w:ind w:right="-188" w:hanging="0"/>
      <w:jc w:val="center"/>
    </w:pPr>
    <w:rPr>
      <w:rFonts w:ascii="Arial" w:hAnsi="Arial" w:eastAsia="Times New Roman" w:cs="Times New Roman"/>
      <w:i/>
      <w:spacing w:val="12"/>
      <w:sz w:val="16"/>
      <w:szCs w:val="20"/>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stParagraph">
    <w:name w:val="List Paragraph"/>
    <w:basedOn w:val="Normal"/>
    <w:uiPriority w:val="34"/>
    <w:qFormat/>
    <w:rsid w:val="004f65fc"/>
    <w:pPr>
      <w:spacing w:lineRule="auto" w:line="276" w:before="0" w:after="200"/>
      <w:ind w:left="720" w:hanging="0"/>
      <w:contextualSpacing/>
    </w:pPr>
    <w:rPr>
      <w:rFonts w:eastAsia="Calibri" w:eastAsiaTheme="minorHAnsi"/>
      <w:lang w:eastAsia="en-US"/>
    </w:rPr>
  </w:style>
  <w:style w:type="paragraph" w:styleId="HeaderandFooter">
    <w:name w:val="Header and Footer"/>
    <w:basedOn w:val="Normal"/>
    <w:qFormat/>
    <w:pPr/>
    <w:rPr/>
  </w:style>
  <w:style w:type="paragraph" w:styleId="Header">
    <w:name w:val="Header"/>
    <w:basedOn w:val="Normal"/>
    <w:link w:val="IntestazioneCarattere"/>
    <w:uiPriority w:val="99"/>
    <w:unhideWhenUsed/>
    <w:rsid w:val="00167e6a"/>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167e6a"/>
    <w:pPr>
      <w:tabs>
        <w:tab w:val="clear" w:pos="708"/>
        <w:tab w:val="center" w:pos="4819" w:leader="none"/>
        <w:tab w:val="right" w:pos="9638" w:leader="none"/>
      </w:tabs>
      <w:spacing w:lineRule="auto" w:line="240" w:before="0" w:after="0"/>
    </w:pPr>
    <w:rPr/>
  </w:style>
  <w:style w:type="paragraph" w:styleId="Default" w:customStyle="1">
    <w:name w:val="Default"/>
    <w:qFormat/>
    <w:rsid w:val="00747c6a"/>
    <w:pPr>
      <w:widowControl/>
      <w:bidi w:val="0"/>
      <w:spacing w:lineRule="auto" w:line="240" w:before="0" w:after="0"/>
      <w:jc w:val="left"/>
    </w:pPr>
    <w:rPr>
      <w:rFonts w:ascii="Garamond" w:hAnsi="Garamond" w:cs="Garamond" w:eastAsia=""/>
      <w:color w:val="000000"/>
      <w:kern w:val="0"/>
      <w:sz w:val="24"/>
      <w:szCs w:val="24"/>
      <w:lang w:val="en-GB" w:eastAsia="it-IT" w:bidi="ar-SA"/>
    </w:rPr>
  </w:style>
  <w:style w:type="paragraph" w:styleId="NormalWeb">
    <w:name w:val="Normal (Web)"/>
    <w:basedOn w:val="Normal"/>
    <w:uiPriority w:val="99"/>
    <w:unhideWhenUsed/>
    <w:qFormat/>
    <w:rsid w:val="00f4161e"/>
    <w:pPr>
      <w:spacing w:lineRule="auto" w:line="240" w:before="0" w:after="0"/>
    </w:pPr>
    <w:rPr>
      <w:rFonts w:ascii="Times New Roman" w:hAnsi="Times New Roman" w:eastAsia="Calibri" w:cs="Times New Roman" w:eastAsiaTheme="minorHAnsi"/>
      <w:sz w:val="24"/>
      <w:szCs w:val="24"/>
    </w:rPr>
  </w:style>
  <w:style w:type="paragraph" w:styleId="BalloonText">
    <w:name w:val="Balloon Text"/>
    <w:basedOn w:val="Normal"/>
    <w:link w:val="TestofumettoCarattere"/>
    <w:uiPriority w:val="99"/>
    <w:semiHidden/>
    <w:unhideWhenUsed/>
    <w:qFormat/>
    <w:rsid w:val="00df4a61"/>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8864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DCF5B-9B55-467F-804C-2013DDD7B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LibreOffice/7.1.2.2$MacOSX_X86_64 LibreOffice_project/8a45595d069ef5570103caea1b71cc9d82b2aae4</Application>
  <AppVersion>15.0000</AppVersion>
  <Pages>5</Pages>
  <Words>2425</Words>
  <Characters>12948</Characters>
  <CharactersWithSpaces>15438</CharactersWithSpaces>
  <Paragraphs>153</Paragraphs>
  <Company>Regione Marche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2022-04-01T09:53:00Z</dcterms:created>
  <dc:creator>Visitatore</dc:creator>
  <dc:description/>
  <dc:language>it-IT</dc:language>
  <cp:lastModifiedBy/>
  <cp:lastPrinted>2022-02-14T18:43:00Z</cp:lastPrinted>
  <dcterms:modified xsi:type="dcterms:W3CDTF">2022-04-04T16:13:09Z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